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D7759">
      <w:pPr>
        <w:pStyle w:val="47"/>
        <w:ind w:firstLine="480"/>
        <w:rPr>
          <w:rFonts w:hint="eastAsia" w:eastAsia="宋体"/>
          <w:color w:val="auto"/>
          <w:lang w:val="en-US" w:eastAsia="zh-CN"/>
        </w:rPr>
      </w:pPr>
      <w:r>
        <w:rPr>
          <w:rFonts w:hint="eastAsia"/>
          <w:color w:val="auto"/>
          <w:lang w:val="en-US" w:eastAsia="zh-CN"/>
        </w:rPr>
        <w:t xml:space="preserve"> </w:t>
      </w:r>
    </w:p>
    <w:p w14:paraId="2C70286B">
      <w:pPr>
        <w:pStyle w:val="47"/>
        <w:ind w:firstLine="480"/>
        <w:rPr>
          <w:color w:val="auto"/>
        </w:rPr>
      </w:pPr>
    </w:p>
    <w:p w14:paraId="387852A8">
      <w:pPr>
        <w:pStyle w:val="47"/>
        <w:ind w:firstLine="480"/>
        <w:rPr>
          <w:color w:val="auto"/>
        </w:rPr>
      </w:pPr>
    </w:p>
    <w:p w14:paraId="0DCA6B48">
      <w:pPr>
        <w:pStyle w:val="47"/>
        <w:ind w:firstLine="480"/>
        <w:rPr>
          <w:color w:val="auto"/>
        </w:rPr>
      </w:pPr>
    </w:p>
    <w:p w14:paraId="6D123A55">
      <w:pPr>
        <w:pStyle w:val="47"/>
        <w:ind w:firstLine="480"/>
        <w:rPr>
          <w:color w:val="auto"/>
        </w:rPr>
      </w:pPr>
    </w:p>
    <w:p w14:paraId="650956F1">
      <w:pPr>
        <w:spacing w:line="240" w:lineRule="auto"/>
        <w:jc w:val="center"/>
        <w:rPr>
          <w:color w:val="auto"/>
          <w:sz w:val="72"/>
          <w:szCs w:val="72"/>
        </w:rPr>
      </w:pPr>
      <w:r>
        <w:rPr>
          <w:color w:val="auto"/>
          <w:sz w:val="72"/>
          <w:szCs w:val="72"/>
        </w:rPr>
        <w:t>建设项目环境影响报告表</w:t>
      </w:r>
    </w:p>
    <w:p w14:paraId="628CDC38">
      <w:pPr>
        <w:spacing w:line="240" w:lineRule="auto"/>
        <w:jc w:val="center"/>
        <w:rPr>
          <w:color w:val="auto"/>
          <w:sz w:val="48"/>
          <w:szCs w:val="48"/>
        </w:rPr>
      </w:pPr>
      <w:r>
        <w:rPr>
          <w:color w:val="auto"/>
          <w:sz w:val="48"/>
          <w:szCs w:val="48"/>
        </w:rPr>
        <w:t>（污染影响类）</w:t>
      </w:r>
    </w:p>
    <w:p w14:paraId="4643DCF0">
      <w:pPr>
        <w:rPr>
          <w:color w:val="auto"/>
        </w:rPr>
      </w:pPr>
    </w:p>
    <w:p w14:paraId="5CABF5D7">
      <w:pPr>
        <w:rPr>
          <w:color w:val="auto"/>
        </w:rPr>
      </w:pPr>
    </w:p>
    <w:p w14:paraId="568855BE">
      <w:pPr>
        <w:rPr>
          <w:color w:val="auto"/>
        </w:rPr>
      </w:pPr>
    </w:p>
    <w:p w14:paraId="029DC78D">
      <w:pPr>
        <w:rPr>
          <w:color w:val="auto"/>
        </w:rPr>
      </w:pPr>
    </w:p>
    <w:p w14:paraId="7AB623F3">
      <w:pPr>
        <w:rPr>
          <w:color w:val="auto"/>
        </w:rPr>
      </w:pPr>
    </w:p>
    <w:p w14:paraId="171A1694">
      <w:pPr>
        <w:rPr>
          <w:color w:val="auto"/>
        </w:rPr>
      </w:pPr>
    </w:p>
    <w:p w14:paraId="0B53AE2A">
      <w:pPr>
        <w:pStyle w:val="9"/>
        <w:rPr>
          <w:color w:val="auto"/>
        </w:rPr>
      </w:pPr>
    </w:p>
    <w:p w14:paraId="116B0576">
      <w:pPr>
        <w:pStyle w:val="9"/>
        <w:rPr>
          <w:color w:val="auto"/>
        </w:rPr>
      </w:pPr>
    </w:p>
    <w:p w14:paraId="0F7FC8AB">
      <w:pPr>
        <w:rPr>
          <w:color w:val="auto"/>
        </w:rPr>
      </w:pPr>
    </w:p>
    <w:p w14:paraId="0344F146">
      <w:pPr>
        <w:rPr>
          <w:color w:val="auto"/>
        </w:rPr>
      </w:pPr>
    </w:p>
    <w:p w14:paraId="2E4AF4AE">
      <w:pPr>
        <w:rPr>
          <w:color w:val="auto"/>
        </w:rPr>
      </w:pPr>
    </w:p>
    <w:p w14:paraId="10BB07C6">
      <w:pPr>
        <w:rPr>
          <w:color w:val="auto"/>
        </w:rPr>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87"/>
      </w:tblGrid>
      <w:tr w14:paraId="52B3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8" w:hRule="atLeast"/>
          <w:jc w:val="center"/>
        </w:trPr>
        <w:tc>
          <w:tcPr>
            <w:tcW w:w="8187" w:type="dxa"/>
            <w:vAlign w:val="center"/>
          </w:tcPr>
          <w:p w14:paraId="15E9EA05">
            <w:pPr>
              <w:spacing w:line="324" w:lineRule="auto"/>
              <w:rPr>
                <w:rFonts w:eastAsia="仿宋"/>
                <w:bCs/>
                <w:color w:val="auto"/>
                <w:sz w:val="36"/>
                <w:szCs w:val="36"/>
              </w:rPr>
            </w:pPr>
            <w:r>
              <w:rPr>
                <w:rFonts w:eastAsia="仿宋"/>
                <w:bCs/>
                <w:color w:val="auto"/>
                <w:sz w:val="36"/>
                <w:szCs w:val="36"/>
              </w:rPr>
              <w:t>项  目  名  称:</w:t>
            </w:r>
            <w:r>
              <w:rPr>
                <w:rFonts w:eastAsia="仿宋"/>
                <w:bCs/>
                <w:color w:val="auto"/>
                <w:sz w:val="36"/>
                <w:szCs w:val="36"/>
                <w:u w:val="single"/>
              </w:rPr>
              <w:t xml:space="preserve">   年产1.2亿米化纤面料项目       </w:t>
            </w:r>
          </w:p>
        </w:tc>
      </w:tr>
      <w:tr w14:paraId="10088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87" w:type="dxa"/>
            <w:vAlign w:val="center"/>
          </w:tcPr>
          <w:p w14:paraId="344280A7">
            <w:pPr>
              <w:spacing w:line="324" w:lineRule="auto"/>
              <w:rPr>
                <w:rFonts w:eastAsia="仿宋"/>
                <w:bCs/>
                <w:color w:val="auto"/>
                <w:sz w:val="36"/>
                <w:szCs w:val="36"/>
              </w:rPr>
            </w:pPr>
            <w:r>
              <w:rPr>
                <w:rFonts w:eastAsia="仿宋"/>
                <w:bCs/>
                <w:color w:val="auto"/>
                <w:sz w:val="36"/>
                <w:szCs w:val="36"/>
              </w:rPr>
              <w:t>建设单位(盖章)</w:t>
            </w:r>
            <w:r>
              <w:rPr>
                <w:rFonts w:hint="eastAsia" w:eastAsia="仿宋"/>
                <w:bCs/>
                <w:color w:val="auto"/>
                <w:sz w:val="36"/>
                <w:szCs w:val="36"/>
              </w:rPr>
              <w:t xml:space="preserve"> </w:t>
            </w:r>
            <w:r>
              <w:rPr>
                <w:rFonts w:eastAsia="仿宋"/>
                <w:bCs/>
                <w:color w:val="auto"/>
                <w:sz w:val="36"/>
                <w:szCs w:val="36"/>
              </w:rPr>
              <w:t>:</w:t>
            </w:r>
            <w:r>
              <w:rPr>
                <w:rFonts w:eastAsia="仿宋"/>
                <w:bCs/>
                <w:color w:val="auto"/>
                <w:sz w:val="36"/>
                <w:szCs w:val="36"/>
                <w:u w:val="single"/>
              </w:rPr>
              <w:t xml:space="preserve">  </w:t>
            </w:r>
            <w:r>
              <w:rPr>
                <w:rFonts w:hint="eastAsia" w:eastAsia="仿宋"/>
                <w:bCs/>
                <w:color w:val="auto"/>
                <w:sz w:val="36"/>
                <w:szCs w:val="36"/>
                <w:u w:val="single"/>
              </w:rPr>
              <w:t xml:space="preserve"> </w:t>
            </w:r>
            <w:r>
              <w:rPr>
                <w:rFonts w:eastAsia="仿宋"/>
                <w:bCs/>
                <w:color w:val="auto"/>
                <w:sz w:val="36"/>
                <w:szCs w:val="36"/>
                <w:u w:val="single"/>
              </w:rPr>
              <w:t xml:space="preserve">江苏屹能纺织科技有限公司      </w:t>
            </w:r>
          </w:p>
        </w:tc>
      </w:tr>
      <w:tr w14:paraId="6E63B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87" w:type="dxa"/>
            <w:vAlign w:val="center"/>
          </w:tcPr>
          <w:p w14:paraId="2CC8F790">
            <w:pPr>
              <w:spacing w:line="324" w:lineRule="auto"/>
              <w:rPr>
                <w:rFonts w:eastAsia="仿宋"/>
                <w:bCs/>
                <w:color w:val="auto"/>
                <w:sz w:val="36"/>
                <w:szCs w:val="36"/>
              </w:rPr>
            </w:pPr>
            <w:r>
              <w:rPr>
                <w:rFonts w:eastAsia="仿宋"/>
                <w:bCs/>
                <w:color w:val="auto"/>
                <w:sz w:val="36"/>
                <w:szCs w:val="36"/>
              </w:rPr>
              <w:t>编  制  日  期:</w:t>
            </w:r>
            <w:r>
              <w:rPr>
                <w:rFonts w:eastAsia="仿宋"/>
                <w:bCs/>
                <w:color w:val="auto"/>
                <w:sz w:val="36"/>
                <w:szCs w:val="36"/>
                <w:u w:val="single"/>
              </w:rPr>
              <w:t xml:space="preserve">          2025年</w:t>
            </w:r>
            <w:r>
              <w:rPr>
                <w:rFonts w:hint="eastAsia" w:eastAsia="仿宋"/>
                <w:bCs/>
                <w:color w:val="auto"/>
                <w:sz w:val="36"/>
                <w:szCs w:val="36"/>
                <w:u w:val="single"/>
              </w:rPr>
              <w:t>3</w:t>
            </w:r>
            <w:r>
              <w:rPr>
                <w:rFonts w:eastAsia="仿宋"/>
                <w:bCs/>
                <w:color w:val="auto"/>
                <w:sz w:val="36"/>
                <w:szCs w:val="36"/>
                <w:u w:val="single"/>
              </w:rPr>
              <w:t xml:space="preserve">月                   </w:t>
            </w:r>
          </w:p>
        </w:tc>
      </w:tr>
    </w:tbl>
    <w:p w14:paraId="54B0C8F3">
      <w:pPr>
        <w:rPr>
          <w:color w:val="auto"/>
        </w:rPr>
      </w:pPr>
      <w:bookmarkStart w:id="0" w:name="_Hlk57884087"/>
    </w:p>
    <w:p w14:paraId="58D8D6AE">
      <w:pPr>
        <w:rPr>
          <w:color w:val="auto"/>
        </w:rPr>
      </w:pPr>
    </w:p>
    <w:p w14:paraId="6FCDAC5D">
      <w:pPr>
        <w:pStyle w:val="9"/>
        <w:rPr>
          <w:color w:val="auto"/>
        </w:rPr>
      </w:pPr>
    </w:p>
    <w:p w14:paraId="4EA5491D">
      <w:pPr>
        <w:pStyle w:val="9"/>
        <w:rPr>
          <w:color w:val="auto"/>
        </w:rPr>
      </w:pPr>
    </w:p>
    <w:p w14:paraId="46424E51">
      <w:pPr>
        <w:pStyle w:val="9"/>
        <w:rPr>
          <w:color w:val="auto"/>
        </w:rPr>
      </w:pPr>
    </w:p>
    <w:p w14:paraId="16A65144">
      <w:pPr>
        <w:rPr>
          <w:color w:val="auto"/>
        </w:rPr>
      </w:pPr>
    </w:p>
    <w:p w14:paraId="6B886A2C">
      <w:pPr>
        <w:rPr>
          <w:color w:val="auto"/>
        </w:rPr>
      </w:pPr>
    </w:p>
    <w:p w14:paraId="3B9C0965">
      <w:pPr>
        <w:rPr>
          <w:color w:val="auto"/>
        </w:rPr>
      </w:pPr>
    </w:p>
    <w:bookmarkEnd w:id="0"/>
    <w:p w14:paraId="04C03081">
      <w:pPr>
        <w:spacing w:line="360" w:lineRule="auto"/>
        <w:jc w:val="center"/>
        <w:rPr>
          <w:rFonts w:eastAsiaTheme="minorEastAsia"/>
          <w:color w:val="auto"/>
          <w:sz w:val="36"/>
          <w:szCs w:val="36"/>
        </w:rPr>
      </w:pPr>
      <w:r>
        <w:rPr>
          <w:rFonts w:eastAsiaTheme="minorEastAsia"/>
          <w:color w:val="auto"/>
          <w:sz w:val="36"/>
          <w:szCs w:val="36"/>
        </w:rPr>
        <w:t>中华人民共和国生态环境部制</w:t>
      </w:r>
    </w:p>
    <w:p w14:paraId="25AD872D">
      <w:pPr>
        <w:spacing w:line="360" w:lineRule="auto"/>
        <w:jc w:val="center"/>
        <w:rPr>
          <w:b/>
          <w:bCs/>
          <w:color w:val="auto"/>
          <w:sz w:val="36"/>
          <w:szCs w:val="36"/>
        </w:rPr>
        <w:sectPr>
          <w:footerReference r:id="rId5" w:type="default"/>
          <w:pgSz w:w="11906" w:h="16838"/>
          <w:pgMar w:top="1701" w:right="1417" w:bottom="1701" w:left="1417" w:header="851" w:footer="851" w:gutter="0"/>
          <w:pgNumType w:start="1"/>
          <w:cols w:space="720" w:num="1"/>
          <w:docGrid w:linePitch="312" w:charSpace="0"/>
        </w:sectPr>
      </w:pPr>
    </w:p>
    <w:p w14:paraId="0E097350">
      <w:pPr>
        <w:spacing w:line="360" w:lineRule="auto"/>
        <w:jc w:val="center"/>
        <w:rPr>
          <w:b/>
          <w:bCs/>
          <w:color w:val="auto"/>
          <w:sz w:val="36"/>
          <w:szCs w:val="36"/>
        </w:rPr>
      </w:pPr>
      <w:r>
        <w:rPr>
          <w:b/>
          <w:bCs/>
          <w:color w:val="auto"/>
          <w:sz w:val="36"/>
          <w:szCs w:val="36"/>
        </w:rPr>
        <w:t>目 录</w:t>
      </w:r>
    </w:p>
    <w:p w14:paraId="799D2AB0">
      <w:pPr>
        <w:pStyle w:val="12"/>
        <w:tabs>
          <w:tab w:val="right" w:leader="dot" w:pos="8844"/>
        </w:tabs>
        <w:rPr>
          <w:color w:val="auto"/>
        </w:rPr>
      </w:pPr>
      <w:r>
        <w:rPr>
          <w:color w:val="auto"/>
          <w:sz w:val="24"/>
          <w:szCs w:val="24"/>
        </w:rPr>
        <w:fldChar w:fldCharType="begin"/>
      </w:r>
      <w:r>
        <w:rPr>
          <w:color w:val="auto"/>
          <w:sz w:val="24"/>
          <w:szCs w:val="24"/>
        </w:rPr>
        <w:instrText xml:space="preserve">TOC \o "1-2" \h \u </w:instrText>
      </w:r>
      <w:r>
        <w:rPr>
          <w:color w:val="auto"/>
          <w:sz w:val="24"/>
          <w:szCs w:val="24"/>
        </w:rPr>
        <w:fldChar w:fldCharType="separate"/>
      </w:r>
      <w:r>
        <w:rPr>
          <w:color w:val="auto"/>
        </w:rPr>
        <w:fldChar w:fldCharType="begin"/>
      </w:r>
      <w:r>
        <w:rPr>
          <w:color w:val="auto"/>
        </w:rPr>
        <w:instrText xml:space="preserve"> HYPERLINK \l "_Toc24828" </w:instrText>
      </w:r>
      <w:r>
        <w:rPr>
          <w:color w:val="auto"/>
        </w:rPr>
        <w:fldChar w:fldCharType="separate"/>
      </w:r>
      <w:r>
        <w:rPr>
          <w:color w:val="auto"/>
        </w:rPr>
        <w:t>一、建设项目基本情况</w:t>
      </w:r>
      <w:r>
        <w:rPr>
          <w:color w:val="auto"/>
        </w:rPr>
        <w:tab/>
      </w:r>
      <w:r>
        <w:rPr>
          <w:color w:val="auto"/>
        </w:rPr>
        <w:fldChar w:fldCharType="begin"/>
      </w:r>
      <w:r>
        <w:rPr>
          <w:color w:val="auto"/>
        </w:rPr>
        <w:instrText xml:space="preserve"> PAGEREF _Toc24828 \h </w:instrText>
      </w:r>
      <w:r>
        <w:rPr>
          <w:color w:val="auto"/>
        </w:rPr>
        <w:fldChar w:fldCharType="separate"/>
      </w:r>
      <w:r>
        <w:rPr>
          <w:color w:val="auto"/>
        </w:rPr>
        <w:t>1</w:t>
      </w:r>
      <w:r>
        <w:rPr>
          <w:color w:val="auto"/>
        </w:rPr>
        <w:fldChar w:fldCharType="end"/>
      </w:r>
      <w:r>
        <w:rPr>
          <w:color w:val="auto"/>
        </w:rPr>
        <w:fldChar w:fldCharType="end"/>
      </w:r>
    </w:p>
    <w:p w14:paraId="5B187FB5">
      <w:pPr>
        <w:pStyle w:val="12"/>
        <w:tabs>
          <w:tab w:val="right" w:leader="dot" w:pos="8844"/>
        </w:tabs>
        <w:rPr>
          <w:color w:val="auto"/>
        </w:rPr>
      </w:pPr>
      <w:r>
        <w:rPr>
          <w:color w:val="auto"/>
        </w:rPr>
        <w:fldChar w:fldCharType="begin"/>
      </w:r>
      <w:r>
        <w:rPr>
          <w:color w:val="auto"/>
        </w:rPr>
        <w:instrText xml:space="preserve"> HYPERLINK \l "_Toc24866" </w:instrText>
      </w:r>
      <w:r>
        <w:rPr>
          <w:color w:val="auto"/>
        </w:rPr>
        <w:fldChar w:fldCharType="separate"/>
      </w:r>
      <w:r>
        <w:rPr>
          <w:color w:val="auto"/>
        </w:rPr>
        <w:t>二、建设项目工程分析</w:t>
      </w:r>
      <w:r>
        <w:rPr>
          <w:color w:val="auto"/>
        </w:rPr>
        <w:tab/>
      </w:r>
      <w:r>
        <w:rPr>
          <w:color w:val="auto"/>
        </w:rPr>
        <w:fldChar w:fldCharType="begin"/>
      </w:r>
      <w:r>
        <w:rPr>
          <w:color w:val="auto"/>
        </w:rPr>
        <w:instrText xml:space="preserve"> PAGEREF _Toc24866 \h </w:instrText>
      </w:r>
      <w:r>
        <w:rPr>
          <w:color w:val="auto"/>
        </w:rPr>
        <w:fldChar w:fldCharType="separate"/>
      </w:r>
      <w:r>
        <w:rPr>
          <w:color w:val="auto"/>
        </w:rPr>
        <w:t>14</w:t>
      </w:r>
      <w:r>
        <w:rPr>
          <w:color w:val="auto"/>
        </w:rPr>
        <w:fldChar w:fldCharType="end"/>
      </w:r>
      <w:r>
        <w:rPr>
          <w:color w:val="auto"/>
        </w:rPr>
        <w:fldChar w:fldCharType="end"/>
      </w:r>
    </w:p>
    <w:p w14:paraId="4BEACAA4">
      <w:pPr>
        <w:pStyle w:val="12"/>
        <w:tabs>
          <w:tab w:val="right" w:leader="dot" w:pos="8844"/>
        </w:tabs>
        <w:rPr>
          <w:color w:val="auto"/>
        </w:rPr>
      </w:pPr>
      <w:r>
        <w:rPr>
          <w:color w:val="auto"/>
        </w:rPr>
        <w:fldChar w:fldCharType="begin"/>
      </w:r>
      <w:r>
        <w:rPr>
          <w:color w:val="auto"/>
        </w:rPr>
        <w:instrText xml:space="preserve"> HYPERLINK \l "_Toc16146" </w:instrText>
      </w:r>
      <w:r>
        <w:rPr>
          <w:color w:val="auto"/>
        </w:rPr>
        <w:fldChar w:fldCharType="separate"/>
      </w:r>
      <w:r>
        <w:rPr>
          <w:color w:val="auto"/>
        </w:rPr>
        <w:t>三、区域环境质量现状、环境保护目标及评价标准</w:t>
      </w:r>
      <w:r>
        <w:rPr>
          <w:color w:val="auto"/>
        </w:rPr>
        <w:tab/>
      </w:r>
      <w:r>
        <w:rPr>
          <w:color w:val="auto"/>
        </w:rPr>
        <w:fldChar w:fldCharType="begin"/>
      </w:r>
      <w:r>
        <w:rPr>
          <w:color w:val="auto"/>
        </w:rPr>
        <w:instrText xml:space="preserve"> PAGEREF _Toc16146 \h </w:instrText>
      </w:r>
      <w:r>
        <w:rPr>
          <w:color w:val="auto"/>
        </w:rPr>
        <w:fldChar w:fldCharType="separate"/>
      </w:r>
      <w:r>
        <w:rPr>
          <w:color w:val="auto"/>
        </w:rPr>
        <w:t>23</w:t>
      </w:r>
      <w:r>
        <w:rPr>
          <w:color w:val="auto"/>
        </w:rPr>
        <w:fldChar w:fldCharType="end"/>
      </w:r>
      <w:r>
        <w:rPr>
          <w:color w:val="auto"/>
        </w:rPr>
        <w:fldChar w:fldCharType="end"/>
      </w:r>
    </w:p>
    <w:p w14:paraId="02E2F4D7">
      <w:pPr>
        <w:pStyle w:val="12"/>
        <w:tabs>
          <w:tab w:val="right" w:leader="dot" w:pos="8844"/>
        </w:tabs>
        <w:rPr>
          <w:color w:val="auto"/>
        </w:rPr>
      </w:pPr>
      <w:r>
        <w:rPr>
          <w:color w:val="auto"/>
        </w:rPr>
        <w:fldChar w:fldCharType="begin"/>
      </w:r>
      <w:r>
        <w:rPr>
          <w:color w:val="auto"/>
        </w:rPr>
        <w:instrText xml:space="preserve"> HYPERLINK \l "_Toc30086" </w:instrText>
      </w:r>
      <w:r>
        <w:rPr>
          <w:color w:val="auto"/>
        </w:rPr>
        <w:fldChar w:fldCharType="separate"/>
      </w:r>
      <w:r>
        <w:rPr>
          <w:color w:val="auto"/>
        </w:rPr>
        <w:t>四、主要环境影响和保护措施</w:t>
      </w:r>
      <w:r>
        <w:rPr>
          <w:color w:val="auto"/>
        </w:rPr>
        <w:tab/>
      </w:r>
      <w:r>
        <w:rPr>
          <w:color w:val="auto"/>
        </w:rPr>
        <w:fldChar w:fldCharType="begin"/>
      </w:r>
      <w:r>
        <w:rPr>
          <w:color w:val="auto"/>
        </w:rPr>
        <w:instrText xml:space="preserve"> PAGEREF _Toc30086 \h </w:instrText>
      </w:r>
      <w:r>
        <w:rPr>
          <w:color w:val="auto"/>
        </w:rPr>
        <w:fldChar w:fldCharType="separate"/>
      </w:r>
      <w:r>
        <w:rPr>
          <w:color w:val="auto"/>
        </w:rPr>
        <w:t>28</w:t>
      </w:r>
      <w:r>
        <w:rPr>
          <w:color w:val="auto"/>
        </w:rPr>
        <w:fldChar w:fldCharType="end"/>
      </w:r>
      <w:r>
        <w:rPr>
          <w:color w:val="auto"/>
        </w:rPr>
        <w:fldChar w:fldCharType="end"/>
      </w:r>
    </w:p>
    <w:p w14:paraId="74B63978">
      <w:pPr>
        <w:pStyle w:val="12"/>
        <w:tabs>
          <w:tab w:val="right" w:leader="dot" w:pos="8844"/>
        </w:tabs>
        <w:rPr>
          <w:color w:val="auto"/>
        </w:rPr>
      </w:pPr>
      <w:r>
        <w:rPr>
          <w:color w:val="auto"/>
        </w:rPr>
        <w:fldChar w:fldCharType="begin"/>
      </w:r>
      <w:r>
        <w:rPr>
          <w:color w:val="auto"/>
        </w:rPr>
        <w:instrText xml:space="preserve"> HYPERLINK \l "_Toc24336" </w:instrText>
      </w:r>
      <w:r>
        <w:rPr>
          <w:color w:val="auto"/>
        </w:rPr>
        <w:fldChar w:fldCharType="separate"/>
      </w:r>
      <w:r>
        <w:rPr>
          <w:color w:val="auto"/>
        </w:rPr>
        <w:t>五、环境保护措施监督检查清单</w:t>
      </w:r>
      <w:r>
        <w:rPr>
          <w:color w:val="auto"/>
        </w:rPr>
        <w:tab/>
      </w:r>
      <w:r>
        <w:rPr>
          <w:color w:val="auto"/>
        </w:rPr>
        <w:fldChar w:fldCharType="begin"/>
      </w:r>
      <w:r>
        <w:rPr>
          <w:color w:val="auto"/>
        </w:rPr>
        <w:instrText xml:space="preserve"> PAGEREF _Toc24336 \h </w:instrText>
      </w:r>
      <w:r>
        <w:rPr>
          <w:color w:val="auto"/>
        </w:rPr>
        <w:fldChar w:fldCharType="separate"/>
      </w:r>
      <w:r>
        <w:rPr>
          <w:color w:val="auto"/>
        </w:rPr>
        <w:t>59</w:t>
      </w:r>
      <w:r>
        <w:rPr>
          <w:color w:val="auto"/>
        </w:rPr>
        <w:fldChar w:fldCharType="end"/>
      </w:r>
      <w:r>
        <w:rPr>
          <w:color w:val="auto"/>
        </w:rPr>
        <w:fldChar w:fldCharType="end"/>
      </w:r>
    </w:p>
    <w:p w14:paraId="62C506F6">
      <w:pPr>
        <w:pStyle w:val="12"/>
        <w:tabs>
          <w:tab w:val="right" w:leader="dot" w:pos="8844"/>
        </w:tabs>
        <w:rPr>
          <w:color w:val="auto"/>
        </w:rPr>
      </w:pPr>
      <w:r>
        <w:rPr>
          <w:color w:val="auto"/>
        </w:rPr>
        <w:fldChar w:fldCharType="begin"/>
      </w:r>
      <w:r>
        <w:rPr>
          <w:color w:val="auto"/>
        </w:rPr>
        <w:instrText xml:space="preserve"> HYPERLINK \l "_Toc17075" </w:instrText>
      </w:r>
      <w:r>
        <w:rPr>
          <w:color w:val="auto"/>
        </w:rPr>
        <w:fldChar w:fldCharType="separate"/>
      </w:r>
      <w:r>
        <w:rPr>
          <w:color w:val="auto"/>
        </w:rPr>
        <w:t>六、结论</w:t>
      </w:r>
      <w:r>
        <w:rPr>
          <w:color w:val="auto"/>
        </w:rPr>
        <w:tab/>
      </w:r>
      <w:r>
        <w:rPr>
          <w:color w:val="auto"/>
        </w:rPr>
        <w:fldChar w:fldCharType="begin"/>
      </w:r>
      <w:r>
        <w:rPr>
          <w:color w:val="auto"/>
        </w:rPr>
        <w:instrText xml:space="preserve"> PAGEREF _Toc17075 \h </w:instrText>
      </w:r>
      <w:r>
        <w:rPr>
          <w:color w:val="auto"/>
        </w:rPr>
        <w:fldChar w:fldCharType="separate"/>
      </w:r>
      <w:r>
        <w:rPr>
          <w:color w:val="auto"/>
        </w:rPr>
        <w:t>61</w:t>
      </w:r>
      <w:r>
        <w:rPr>
          <w:color w:val="auto"/>
        </w:rPr>
        <w:fldChar w:fldCharType="end"/>
      </w:r>
      <w:r>
        <w:rPr>
          <w:color w:val="auto"/>
        </w:rPr>
        <w:fldChar w:fldCharType="end"/>
      </w:r>
    </w:p>
    <w:p w14:paraId="4C29C02D">
      <w:pPr>
        <w:pStyle w:val="12"/>
        <w:tabs>
          <w:tab w:val="right" w:leader="dot" w:pos="8844"/>
        </w:tabs>
        <w:rPr>
          <w:color w:val="auto"/>
        </w:rPr>
      </w:pPr>
      <w:r>
        <w:rPr>
          <w:color w:val="auto"/>
        </w:rPr>
        <w:fldChar w:fldCharType="begin"/>
      </w:r>
      <w:r>
        <w:rPr>
          <w:color w:val="auto"/>
        </w:rPr>
        <w:instrText xml:space="preserve"> HYPERLINK \l "_Toc8760" </w:instrText>
      </w:r>
      <w:r>
        <w:rPr>
          <w:color w:val="auto"/>
        </w:rPr>
        <w:fldChar w:fldCharType="separate"/>
      </w:r>
      <w:r>
        <w:rPr>
          <w:color w:val="auto"/>
        </w:rPr>
        <w:t>建设项目污染物排放量汇总表</w:t>
      </w:r>
      <w:r>
        <w:rPr>
          <w:color w:val="auto"/>
        </w:rPr>
        <w:tab/>
      </w:r>
      <w:r>
        <w:rPr>
          <w:color w:val="auto"/>
        </w:rPr>
        <w:fldChar w:fldCharType="begin"/>
      </w:r>
      <w:r>
        <w:rPr>
          <w:color w:val="auto"/>
        </w:rPr>
        <w:instrText xml:space="preserve"> PAGEREF _Toc8760 \h </w:instrText>
      </w:r>
      <w:r>
        <w:rPr>
          <w:color w:val="auto"/>
        </w:rPr>
        <w:fldChar w:fldCharType="separate"/>
      </w:r>
      <w:r>
        <w:rPr>
          <w:color w:val="auto"/>
        </w:rPr>
        <w:t>62</w:t>
      </w:r>
      <w:r>
        <w:rPr>
          <w:color w:val="auto"/>
        </w:rPr>
        <w:fldChar w:fldCharType="end"/>
      </w:r>
      <w:r>
        <w:rPr>
          <w:color w:val="auto"/>
        </w:rPr>
        <w:fldChar w:fldCharType="end"/>
      </w:r>
    </w:p>
    <w:p w14:paraId="080D1D9D">
      <w:pPr>
        <w:pStyle w:val="9"/>
        <w:spacing w:before="0" w:after="0" w:line="360" w:lineRule="auto"/>
        <w:ind w:right="0"/>
        <w:jc w:val="left"/>
        <w:rPr>
          <w:bCs/>
          <w:color w:val="auto"/>
          <w:sz w:val="24"/>
          <w:szCs w:val="24"/>
        </w:rPr>
      </w:pPr>
      <w:r>
        <w:rPr>
          <w:color w:val="auto"/>
        </w:rPr>
        <w:fldChar w:fldCharType="end"/>
      </w:r>
      <w:r>
        <w:rPr>
          <w:bCs/>
          <w:color w:val="auto"/>
          <w:sz w:val="24"/>
          <w:szCs w:val="24"/>
        </w:rPr>
        <w:t>附件1   项目备案证</w:t>
      </w:r>
    </w:p>
    <w:p w14:paraId="7D450A62">
      <w:pPr>
        <w:pStyle w:val="9"/>
        <w:spacing w:before="0" w:after="0" w:line="360" w:lineRule="auto"/>
        <w:ind w:right="0"/>
        <w:jc w:val="left"/>
        <w:rPr>
          <w:bCs/>
          <w:color w:val="auto"/>
          <w:sz w:val="24"/>
          <w:szCs w:val="24"/>
        </w:rPr>
      </w:pPr>
      <w:r>
        <w:rPr>
          <w:bCs/>
          <w:color w:val="auto"/>
          <w:sz w:val="24"/>
          <w:szCs w:val="24"/>
        </w:rPr>
        <w:t>附件2   委托书</w:t>
      </w:r>
    </w:p>
    <w:p w14:paraId="49008185">
      <w:pPr>
        <w:pStyle w:val="9"/>
        <w:spacing w:before="0" w:after="0" w:line="360" w:lineRule="auto"/>
        <w:ind w:right="0"/>
        <w:jc w:val="left"/>
        <w:rPr>
          <w:bCs/>
          <w:color w:val="auto"/>
          <w:sz w:val="24"/>
          <w:szCs w:val="24"/>
        </w:rPr>
      </w:pPr>
      <w:r>
        <w:rPr>
          <w:bCs/>
          <w:color w:val="auto"/>
          <w:sz w:val="24"/>
          <w:szCs w:val="24"/>
        </w:rPr>
        <w:t>附件3   技术服务合同</w:t>
      </w:r>
    </w:p>
    <w:p w14:paraId="228DA690">
      <w:pPr>
        <w:pStyle w:val="9"/>
        <w:spacing w:before="0" w:after="0" w:line="360" w:lineRule="auto"/>
        <w:ind w:right="0"/>
        <w:jc w:val="left"/>
        <w:rPr>
          <w:bCs/>
          <w:color w:val="auto"/>
          <w:sz w:val="24"/>
          <w:szCs w:val="24"/>
        </w:rPr>
      </w:pPr>
      <w:r>
        <w:rPr>
          <w:bCs/>
          <w:color w:val="auto"/>
          <w:sz w:val="24"/>
          <w:szCs w:val="24"/>
        </w:rPr>
        <w:t>附件4   信用承诺书</w:t>
      </w:r>
    </w:p>
    <w:p w14:paraId="30E56BE6">
      <w:pPr>
        <w:pStyle w:val="9"/>
        <w:spacing w:before="0" w:after="0" w:line="360" w:lineRule="auto"/>
        <w:ind w:right="0"/>
        <w:jc w:val="left"/>
        <w:rPr>
          <w:bCs/>
          <w:color w:val="auto"/>
          <w:sz w:val="24"/>
          <w:szCs w:val="24"/>
        </w:rPr>
      </w:pPr>
      <w:r>
        <w:rPr>
          <w:bCs/>
          <w:color w:val="auto"/>
          <w:sz w:val="24"/>
          <w:szCs w:val="24"/>
        </w:rPr>
        <w:t>附件5   建设单位意见表</w:t>
      </w:r>
    </w:p>
    <w:p w14:paraId="0E464A0E">
      <w:pPr>
        <w:pStyle w:val="9"/>
        <w:spacing w:before="0" w:after="0" w:line="360" w:lineRule="auto"/>
        <w:ind w:right="0"/>
        <w:jc w:val="left"/>
        <w:rPr>
          <w:bCs/>
          <w:color w:val="auto"/>
          <w:sz w:val="24"/>
          <w:szCs w:val="24"/>
        </w:rPr>
      </w:pPr>
      <w:r>
        <w:rPr>
          <w:bCs/>
          <w:color w:val="auto"/>
          <w:sz w:val="24"/>
          <w:szCs w:val="24"/>
        </w:rPr>
        <w:t>附件6   危废处置承诺书</w:t>
      </w:r>
    </w:p>
    <w:p w14:paraId="09FFE9C3">
      <w:pPr>
        <w:pStyle w:val="9"/>
        <w:spacing w:before="0" w:after="0" w:line="360" w:lineRule="auto"/>
        <w:ind w:right="0"/>
        <w:jc w:val="left"/>
        <w:rPr>
          <w:bCs/>
          <w:color w:val="auto"/>
          <w:sz w:val="24"/>
          <w:szCs w:val="24"/>
        </w:rPr>
      </w:pPr>
      <w:r>
        <w:rPr>
          <w:bCs/>
          <w:color w:val="auto"/>
          <w:sz w:val="24"/>
          <w:szCs w:val="24"/>
        </w:rPr>
        <w:t xml:space="preserve">附件7  </w:t>
      </w:r>
      <w:r>
        <w:rPr>
          <w:rFonts w:hint="eastAsia"/>
          <w:bCs/>
          <w:color w:val="auto"/>
          <w:sz w:val="24"/>
          <w:szCs w:val="24"/>
          <w:lang w:val="en-US" w:eastAsia="zh-CN"/>
        </w:rPr>
        <w:t xml:space="preserve"> </w:t>
      </w:r>
      <w:r>
        <w:rPr>
          <w:rFonts w:hint="eastAsia"/>
          <w:bCs/>
          <w:color w:val="auto"/>
          <w:sz w:val="24"/>
          <w:szCs w:val="24"/>
        </w:rPr>
        <w:t>入园协议</w:t>
      </w:r>
    </w:p>
    <w:p w14:paraId="0015F843">
      <w:pPr>
        <w:pStyle w:val="9"/>
        <w:spacing w:before="0" w:after="0" w:line="360" w:lineRule="auto"/>
        <w:ind w:right="0"/>
        <w:jc w:val="left"/>
        <w:rPr>
          <w:bCs/>
          <w:color w:val="auto"/>
          <w:sz w:val="24"/>
          <w:szCs w:val="24"/>
        </w:rPr>
      </w:pPr>
      <w:r>
        <w:rPr>
          <w:bCs/>
          <w:color w:val="auto"/>
          <w:sz w:val="24"/>
          <w:szCs w:val="24"/>
        </w:rPr>
        <w:t>附件8   园区规划环评报告书审查意见</w:t>
      </w:r>
    </w:p>
    <w:p w14:paraId="75C49F07">
      <w:pPr>
        <w:pStyle w:val="9"/>
        <w:spacing w:before="0" w:after="0" w:line="360" w:lineRule="auto"/>
        <w:ind w:right="0"/>
        <w:jc w:val="left"/>
        <w:rPr>
          <w:bCs/>
          <w:color w:val="auto"/>
          <w:sz w:val="24"/>
          <w:szCs w:val="24"/>
        </w:rPr>
      </w:pPr>
      <w:r>
        <w:rPr>
          <w:bCs/>
          <w:color w:val="auto"/>
          <w:sz w:val="24"/>
          <w:szCs w:val="24"/>
        </w:rPr>
        <w:t>附件9   建设单位营业执照、法人身份证</w:t>
      </w:r>
    </w:p>
    <w:p w14:paraId="6E5F8ACA">
      <w:pPr>
        <w:pStyle w:val="9"/>
        <w:spacing w:before="0" w:after="0" w:line="360" w:lineRule="auto"/>
        <w:ind w:right="0"/>
        <w:jc w:val="left"/>
        <w:rPr>
          <w:bCs/>
          <w:color w:val="auto"/>
          <w:sz w:val="24"/>
          <w:szCs w:val="24"/>
        </w:rPr>
      </w:pPr>
      <w:r>
        <w:rPr>
          <w:bCs/>
          <w:color w:val="auto"/>
          <w:sz w:val="24"/>
          <w:szCs w:val="24"/>
        </w:rPr>
        <w:t>附件1</w:t>
      </w:r>
      <w:r>
        <w:rPr>
          <w:rFonts w:hint="eastAsia"/>
          <w:bCs/>
          <w:color w:val="auto"/>
          <w:sz w:val="24"/>
          <w:szCs w:val="24"/>
        </w:rPr>
        <w:t>0</w:t>
      </w:r>
      <w:r>
        <w:rPr>
          <w:bCs/>
          <w:color w:val="auto"/>
          <w:sz w:val="24"/>
          <w:szCs w:val="24"/>
        </w:rPr>
        <w:t xml:space="preserve">  现场踏勘记录表</w:t>
      </w:r>
    </w:p>
    <w:p w14:paraId="0AB916BF">
      <w:pPr>
        <w:pStyle w:val="9"/>
        <w:spacing w:before="0" w:after="0" w:line="360" w:lineRule="auto"/>
        <w:ind w:right="0"/>
        <w:jc w:val="left"/>
        <w:rPr>
          <w:bCs/>
          <w:color w:val="auto"/>
          <w:sz w:val="24"/>
          <w:szCs w:val="24"/>
        </w:rPr>
      </w:pPr>
    </w:p>
    <w:p w14:paraId="5D13EBC6">
      <w:pPr>
        <w:pStyle w:val="9"/>
        <w:spacing w:before="0" w:after="0" w:line="360" w:lineRule="auto"/>
        <w:ind w:right="0"/>
        <w:jc w:val="left"/>
        <w:rPr>
          <w:bCs/>
          <w:color w:val="auto"/>
          <w:sz w:val="24"/>
          <w:szCs w:val="24"/>
        </w:rPr>
      </w:pPr>
      <w:r>
        <w:rPr>
          <w:bCs/>
          <w:color w:val="auto"/>
          <w:sz w:val="24"/>
          <w:szCs w:val="24"/>
        </w:rPr>
        <w:t>附图1   项目地理位置图</w:t>
      </w:r>
    </w:p>
    <w:p w14:paraId="23E11552">
      <w:pPr>
        <w:pStyle w:val="9"/>
        <w:spacing w:before="0" w:after="0" w:line="360" w:lineRule="auto"/>
        <w:ind w:right="0"/>
        <w:jc w:val="left"/>
        <w:rPr>
          <w:bCs/>
          <w:color w:val="auto"/>
          <w:sz w:val="24"/>
          <w:szCs w:val="24"/>
        </w:rPr>
      </w:pPr>
      <w:r>
        <w:rPr>
          <w:bCs/>
          <w:color w:val="auto"/>
          <w:sz w:val="24"/>
          <w:szCs w:val="24"/>
        </w:rPr>
        <w:t xml:space="preserve">附图2 </w:t>
      </w:r>
      <w:r>
        <w:rPr>
          <w:rFonts w:hint="eastAsia"/>
          <w:bCs/>
          <w:color w:val="auto"/>
          <w:sz w:val="24"/>
          <w:szCs w:val="24"/>
        </w:rPr>
        <w:t xml:space="preserve"> </w:t>
      </w:r>
      <w:r>
        <w:rPr>
          <w:bCs/>
          <w:color w:val="auto"/>
          <w:sz w:val="24"/>
          <w:szCs w:val="24"/>
        </w:rPr>
        <w:t xml:space="preserve"> 项目周围概况图</w:t>
      </w:r>
    </w:p>
    <w:p w14:paraId="0338B12A">
      <w:pPr>
        <w:pStyle w:val="9"/>
        <w:spacing w:before="0" w:after="0" w:line="360" w:lineRule="auto"/>
        <w:ind w:right="0"/>
        <w:jc w:val="left"/>
        <w:rPr>
          <w:bCs/>
          <w:color w:val="auto"/>
          <w:sz w:val="24"/>
          <w:szCs w:val="24"/>
        </w:rPr>
      </w:pPr>
      <w:r>
        <w:rPr>
          <w:bCs/>
          <w:color w:val="auto"/>
          <w:sz w:val="24"/>
          <w:szCs w:val="24"/>
        </w:rPr>
        <w:t>附图3   项目所在地总体规划图</w:t>
      </w:r>
    </w:p>
    <w:p w14:paraId="294B9122">
      <w:pPr>
        <w:pStyle w:val="9"/>
        <w:spacing w:before="0" w:after="0" w:line="360" w:lineRule="auto"/>
        <w:ind w:right="0"/>
        <w:jc w:val="left"/>
        <w:rPr>
          <w:bCs/>
          <w:color w:val="auto"/>
          <w:sz w:val="24"/>
          <w:szCs w:val="24"/>
        </w:rPr>
      </w:pPr>
      <w:r>
        <w:rPr>
          <w:bCs/>
          <w:color w:val="auto"/>
          <w:sz w:val="24"/>
          <w:szCs w:val="24"/>
        </w:rPr>
        <w:t>附图4   项目厂区平面布置图</w:t>
      </w:r>
    </w:p>
    <w:p w14:paraId="16C8FF65">
      <w:pPr>
        <w:pStyle w:val="9"/>
        <w:spacing w:before="0" w:after="0" w:line="360" w:lineRule="auto"/>
        <w:ind w:right="0"/>
        <w:jc w:val="left"/>
        <w:rPr>
          <w:bCs/>
          <w:color w:val="auto"/>
          <w:sz w:val="24"/>
          <w:szCs w:val="24"/>
        </w:rPr>
      </w:pPr>
      <w:r>
        <w:rPr>
          <w:bCs/>
          <w:color w:val="auto"/>
          <w:sz w:val="24"/>
          <w:szCs w:val="24"/>
        </w:rPr>
        <w:t>附图5   项目在泗阳县水系图中的位置图</w:t>
      </w:r>
    </w:p>
    <w:p w14:paraId="0C760F1A">
      <w:pPr>
        <w:pStyle w:val="9"/>
        <w:spacing w:before="0" w:after="0" w:line="360" w:lineRule="auto"/>
        <w:ind w:right="0"/>
        <w:jc w:val="left"/>
        <w:rPr>
          <w:bCs/>
          <w:color w:val="auto"/>
          <w:sz w:val="24"/>
          <w:szCs w:val="24"/>
        </w:rPr>
      </w:pPr>
      <w:r>
        <w:rPr>
          <w:bCs/>
          <w:color w:val="auto"/>
          <w:sz w:val="24"/>
          <w:szCs w:val="24"/>
        </w:rPr>
        <w:t>附图6   项目在江苏省生态空间保护区域分布图中的位置图</w:t>
      </w:r>
    </w:p>
    <w:p w14:paraId="668278DD">
      <w:pPr>
        <w:pStyle w:val="47"/>
        <w:ind w:firstLine="480"/>
        <w:rPr>
          <w:color w:val="auto"/>
        </w:rPr>
      </w:pPr>
      <w:bookmarkStart w:id="1" w:name="_Toc14278"/>
      <w:bookmarkStart w:id="2" w:name="_Toc24828"/>
    </w:p>
    <w:p w14:paraId="18A6FD8D">
      <w:pPr>
        <w:pStyle w:val="47"/>
        <w:ind w:firstLine="480"/>
        <w:rPr>
          <w:color w:val="auto"/>
        </w:rPr>
        <w:sectPr>
          <w:footerReference r:id="rId6" w:type="default"/>
          <w:pgSz w:w="11906" w:h="16838"/>
          <w:pgMar w:top="1701" w:right="1417" w:bottom="1701" w:left="1417" w:header="851" w:footer="851" w:gutter="0"/>
          <w:pgNumType w:start="1"/>
          <w:cols w:space="720" w:num="1"/>
          <w:docGrid w:linePitch="312" w:charSpace="0"/>
        </w:sectPr>
      </w:pPr>
    </w:p>
    <w:p w14:paraId="325D396A">
      <w:pPr>
        <w:pStyle w:val="2"/>
        <w:spacing w:line="240" w:lineRule="auto"/>
        <w:rPr>
          <w:color w:val="auto"/>
        </w:rPr>
      </w:pPr>
      <w:r>
        <w:rPr>
          <w:color w:val="auto"/>
        </w:rPr>
        <w:t>一、建设项目基本情况</w:t>
      </w:r>
      <w:bookmarkEnd w:id="1"/>
      <w:bookmarkEnd w:id="2"/>
    </w:p>
    <w:tbl>
      <w:tblPr>
        <w:tblStyle w:val="15"/>
        <w:tblW w:w="95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77"/>
        <w:gridCol w:w="3393"/>
        <w:gridCol w:w="1272"/>
        <w:gridCol w:w="3682"/>
      </w:tblGrid>
      <w:tr w14:paraId="4CFD1A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1177" w:type="dxa"/>
            <w:tcMar>
              <w:top w:w="16" w:type="dxa"/>
              <w:left w:w="16" w:type="dxa"/>
              <w:right w:w="16" w:type="dxa"/>
            </w:tcMar>
            <w:vAlign w:val="center"/>
          </w:tcPr>
          <w:p w14:paraId="50FB79F6">
            <w:pPr>
              <w:spacing w:line="400" w:lineRule="exact"/>
              <w:jc w:val="center"/>
              <w:rPr>
                <w:rFonts w:eastAsiaTheme="minorEastAsia"/>
                <w:color w:val="auto"/>
                <w:sz w:val="24"/>
              </w:rPr>
            </w:pPr>
            <w:r>
              <w:rPr>
                <w:rFonts w:eastAsiaTheme="minorEastAsia"/>
                <w:color w:val="auto"/>
                <w:sz w:val="24"/>
              </w:rPr>
              <w:t>建设项目</w:t>
            </w:r>
          </w:p>
          <w:p w14:paraId="0FC92B39">
            <w:pPr>
              <w:spacing w:line="400" w:lineRule="exact"/>
              <w:jc w:val="center"/>
              <w:rPr>
                <w:rFonts w:eastAsiaTheme="minorEastAsia"/>
                <w:color w:val="auto"/>
                <w:sz w:val="24"/>
              </w:rPr>
            </w:pPr>
            <w:r>
              <w:rPr>
                <w:rFonts w:eastAsiaTheme="minorEastAsia"/>
                <w:color w:val="auto"/>
                <w:sz w:val="24"/>
              </w:rPr>
              <w:t>名称</w:t>
            </w:r>
          </w:p>
        </w:tc>
        <w:tc>
          <w:tcPr>
            <w:tcW w:w="8347" w:type="dxa"/>
            <w:gridSpan w:val="3"/>
            <w:vAlign w:val="center"/>
          </w:tcPr>
          <w:p w14:paraId="7B74F1C1">
            <w:pPr>
              <w:spacing w:line="400" w:lineRule="exact"/>
              <w:jc w:val="center"/>
              <w:rPr>
                <w:rFonts w:eastAsiaTheme="minorEastAsia"/>
                <w:color w:val="auto"/>
                <w:sz w:val="24"/>
              </w:rPr>
            </w:pPr>
            <w:r>
              <w:rPr>
                <w:rFonts w:eastAsiaTheme="minorEastAsia"/>
                <w:color w:val="auto"/>
                <w:sz w:val="24"/>
              </w:rPr>
              <w:t>年产1.2亿米化纤面料项目</w:t>
            </w:r>
          </w:p>
        </w:tc>
      </w:tr>
      <w:tr w14:paraId="748548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7" w:type="dxa"/>
            <w:tcMar>
              <w:top w:w="16" w:type="dxa"/>
              <w:left w:w="16" w:type="dxa"/>
              <w:right w:w="16" w:type="dxa"/>
            </w:tcMar>
            <w:vAlign w:val="center"/>
          </w:tcPr>
          <w:p w14:paraId="5C45A683">
            <w:pPr>
              <w:spacing w:line="400" w:lineRule="exact"/>
              <w:jc w:val="center"/>
              <w:rPr>
                <w:rFonts w:eastAsiaTheme="minorEastAsia"/>
                <w:color w:val="auto"/>
                <w:sz w:val="24"/>
              </w:rPr>
            </w:pPr>
            <w:r>
              <w:rPr>
                <w:rFonts w:eastAsiaTheme="minorEastAsia"/>
                <w:color w:val="auto"/>
                <w:sz w:val="24"/>
              </w:rPr>
              <w:t>项目代码</w:t>
            </w:r>
          </w:p>
        </w:tc>
        <w:tc>
          <w:tcPr>
            <w:tcW w:w="8347" w:type="dxa"/>
            <w:gridSpan w:val="3"/>
            <w:vAlign w:val="center"/>
          </w:tcPr>
          <w:p w14:paraId="1252147D">
            <w:pPr>
              <w:spacing w:line="400" w:lineRule="exact"/>
              <w:jc w:val="center"/>
              <w:rPr>
                <w:rFonts w:eastAsiaTheme="minorEastAsia"/>
                <w:color w:val="auto"/>
                <w:sz w:val="24"/>
              </w:rPr>
            </w:pPr>
            <w:r>
              <w:rPr>
                <w:rFonts w:eastAsiaTheme="minorEastAsia"/>
                <w:color w:val="auto"/>
                <w:sz w:val="24"/>
              </w:rPr>
              <w:t>2412-321323-89-01-520504</w:t>
            </w:r>
          </w:p>
        </w:tc>
      </w:tr>
      <w:tr w14:paraId="002F4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1177" w:type="dxa"/>
            <w:tcMar>
              <w:top w:w="16" w:type="dxa"/>
              <w:left w:w="16" w:type="dxa"/>
              <w:right w:w="16" w:type="dxa"/>
            </w:tcMar>
            <w:vAlign w:val="center"/>
          </w:tcPr>
          <w:p w14:paraId="2D2AE3B0">
            <w:pPr>
              <w:spacing w:line="400" w:lineRule="exact"/>
              <w:jc w:val="center"/>
              <w:rPr>
                <w:rFonts w:eastAsiaTheme="minorEastAsia"/>
                <w:color w:val="auto"/>
                <w:sz w:val="24"/>
              </w:rPr>
            </w:pPr>
            <w:r>
              <w:rPr>
                <w:rFonts w:eastAsiaTheme="minorEastAsia"/>
                <w:color w:val="auto"/>
                <w:sz w:val="24"/>
              </w:rPr>
              <w:t>建设单位</w:t>
            </w:r>
          </w:p>
          <w:p w14:paraId="189E6C8F">
            <w:pPr>
              <w:spacing w:line="400" w:lineRule="exact"/>
              <w:jc w:val="center"/>
              <w:rPr>
                <w:rFonts w:eastAsiaTheme="minorEastAsia"/>
                <w:color w:val="auto"/>
                <w:sz w:val="24"/>
              </w:rPr>
            </w:pPr>
            <w:r>
              <w:rPr>
                <w:rFonts w:eastAsiaTheme="minorEastAsia"/>
                <w:color w:val="auto"/>
                <w:sz w:val="24"/>
              </w:rPr>
              <w:t>联系人</w:t>
            </w:r>
          </w:p>
        </w:tc>
        <w:tc>
          <w:tcPr>
            <w:tcW w:w="3393" w:type="dxa"/>
            <w:vAlign w:val="center"/>
          </w:tcPr>
          <w:p w14:paraId="4F0E3240">
            <w:pPr>
              <w:spacing w:line="400" w:lineRule="exact"/>
              <w:jc w:val="center"/>
              <w:rPr>
                <w:rFonts w:eastAsiaTheme="minorEastAsia"/>
                <w:color w:val="auto"/>
                <w:sz w:val="24"/>
              </w:rPr>
            </w:pPr>
          </w:p>
        </w:tc>
        <w:tc>
          <w:tcPr>
            <w:tcW w:w="1272" w:type="dxa"/>
            <w:vAlign w:val="center"/>
          </w:tcPr>
          <w:p w14:paraId="356E38C4">
            <w:pPr>
              <w:spacing w:line="400" w:lineRule="exact"/>
              <w:jc w:val="center"/>
              <w:rPr>
                <w:rFonts w:eastAsiaTheme="minorEastAsia"/>
                <w:color w:val="auto"/>
                <w:sz w:val="24"/>
              </w:rPr>
            </w:pPr>
            <w:r>
              <w:rPr>
                <w:rFonts w:eastAsiaTheme="minorEastAsia"/>
                <w:color w:val="auto"/>
                <w:sz w:val="24"/>
              </w:rPr>
              <w:t>联系方式</w:t>
            </w:r>
          </w:p>
        </w:tc>
        <w:tc>
          <w:tcPr>
            <w:tcW w:w="3682" w:type="dxa"/>
            <w:vAlign w:val="center"/>
          </w:tcPr>
          <w:p w14:paraId="435F97D2">
            <w:pPr>
              <w:spacing w:line="400" w:lineRule="exact"/>
              <w:jc w:val="center"/>
              <w:rPr>
                <w:rFonts w:eastAsiaTheme="minorEastAsia"/>
                <w:color w:val="auto"/>
                <w:sz w:val="24"/>
              </w:rPr>
            </w:pPr>
          </w:p>
        </w:tc>
      </w:tr>
      <w:tr w14:paraId="06E9F1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7" w:type="dxa"/>
            <w:tcMar>
              <w:top w:w="16" w:type="dxa"/>
              <w:left w:w="16" w:type="dxa"/>
              <w:right w:w="16" w:type="dxa"/>
            </w:tcMar>
            <w:vAlign w:val="center"/>
          </w:tcPr>
          <w:p w14:paraId="32115CC7">
            <w:pPr>
              <w:spacing w:line="400" w:lineRule="exact"/>
              <w:jc w:val="center"/>
              <w:rPr>
                <w:rFonts w:eastAsiaTheme="minorEastAsia"/>
                <w:color w:val="auto"/>
                <w:sz w:val="24"/>
              </w:rPr>
            </w:pPr>
            <w:r>
              <w:rPr>
                <w:rFonts w:eastAsiaTheme="minorEastAsia"/>
                <w:color w:val="auto"/>
                <w:sz w:val="24"/>
              </w:rPr>
              <w:t>建设地点</w:t>
            </w:r>
          </w:p>
        </w:tc>
        <w:tc>
          <w:tcPr>
            <w:tcW w:w="8347" w:type="dxa"/>
            <w:gridSpan w:val="3"/>
            <w:vAlign w:val="center"/>
          </w:tcPr>
          <w:p w14:paraId="7C81C710">
            <w:pPr>
              <w:spacing w:line="400" w:lineRule="exact"/>
              <w:jc w:val="center"/>
              <w:rPr>
                <w:rFonts w:eastAsiaTheme="minorEastAsia"/>
                <w:color w:val="auto"/>
                <w:sz w:val="24"/>
              </w:rPr>
            </w:pPr>
            <w:r>
              <w:rPr>
                <w:rFonts w:eastAsiaTheme="minorEastAsia"/>
                <w:color w:val="auto"/>
                <w:sz w:val="24"/>
              </w:rPr>
              <w:t>江苏省宿迁市泗阳县新袁镇广州路28号</w:t>
            </w:r>
          </w:p>
        </w:tc>
      </w:tr>
      <w:tr w14:paraId="375551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7" w:type="dxa"/>
            <w:tcMar>
              <w:top w:w="16" w:type="dxa"/>
              <w:left w:w="16" w:type="dxa"/>
              <w:right w:w="16" w:type="dxa"/>
            </w:tcMar>
            <w:vAlign w:val="center"/>
          </w:tcPr>
          <w:p w14:paraId="7C7F6489">
            <w:pPr>
              <w:spacing w:line="400" w:lineRule="exact"/>
              <w:jc w:val="center"/>
              <w:rPr>
                <w:rFonts w:eastAsiaTheme="minorEastAsia"/>
                <w:color w:val="auto"/>
                <w:sz w:val="24"/>
              </w:rPr>
            </w:pPr>
            <w:r>
              <w:rPr>
                <w:rFonts w:eastAsiaTheme="minorEastAsia"/>
                <w:color w:val="auto"/>
                <w:sz w:val="24"/>
              </w:rPr>
              <w:t>地理坐标</w:t>
            </w:r>
          </w:p>
        </w:tc>
        <w:tc>
          <w:tcPr>
            <w:tcW w:w="8347" w:type="dxa"/>
            <w:gridSpan w:val="3"/>
            <w:vAlign w:val="center"/>
          </w:tcPr>
          <w:p w14:paraId="00BBFB5B">
            <w:pPr>
              <w:spacing w:line="400" w:lineRule="exact"/>
              <w:jc w:val="center"/>
              <w:rPr>
                <w:rFonts w:eastAsiaTheme="minorEastAsia"/>
                <w:color w:val="auto"/>
                <w:sz w:val="24"/>
              </w:rPr>
            </w:pPr>
            <w:r>
              <w:rPr>
                <w:rFonts w:eastAsiaTheme="minorEastAsia"/>
                <w:color w:val="auto"/>
                <w:sz w:val="24"/>
              </w:rPr>
              <w:t xml:space="preserve">（东经 118 度 </w:t>
            </w:r>
            <w:r>
              <w:rPr>
                <w:rFonts w:hint="eastAsia" w:eastAsiaTheme="minorEastAsia"/>
                <w:color w:val="auto"/>
                <w:sz w:val="24"/>
              </w:rPr>
              <w:t>45</w:t>
            </w:r>
            <w:r>
              <w:rPr>
                <w:rFonts w:eastAsiaTheme="minorEastAsia"/>
                <w:color w:val="auto"/>
                <w:sz w:val="24"/>
              </w:rPr>
              <w:t xml:space="preserve"> 分 </w:t>
            </w:r>
            <w:r>
              <w:rPr>
                <w:rFonts w:hint="eastAsia" w:eastAsiaTheme="minorEastAsia"/>
                <w:color w:val="auto"/>
                <w:sz w:val="24"/>
              </w:rPr>
              <w:t>34.272</w:t>
            </w:r>
            <w:r>
              <w:rPr>
                <w:rFonts w:eastAsiaTheme="minorEastAsia"/>
                <w:color w:val="auto"/>
                <w:sz w:val="24"/>
              </w:rPr>
              <w:t xml:space="preserve"> 秒，北纬 33 度 </w:t>
            </w:r>
            <w:r>
              <w:rPr>
                <w:rFonts w:hint="eastAsia" w:eastAsiaTheme="minorEastAsia"/>
                <w:color w:val="auto"/>
                <w:sz w:val="24"/>
              </w:rPr>
              <w:t>33</w:t>
            </w:r>
            <w:r>
              <w:rPr>
                <w:rFonts w:eastAsiaTheme="minorEastAsia"/>
                <w:color w:val="auto"/>
                <w:sz w:val="24"/>
              </w:rPr>
              <w:t xml:space="preserve"> 分 </w:t>
            </w:r>
            <w:r>
              <w:rPr>
                <w:rFonts w:hint="eastAsia" w:eastAsiaTheme="minorEastAsia"/>
                <w:color w:val="auto"/>
                <w:sz w:val="24"/>
              </w:rPr>
              <w:t>27.932</w:t>
            </w:r>
            <w:r>
              <w:rPr>
                <w:rFonts w:eastAsiaTheme="minorEastAsia"/>
                <w:color w:val="auto"/>
                <w:sz w:val="24"/>
              </w:rPr>
              <w:t>秒）</w:t>
            </w:r>
          </w:p>
        </w:tc>
      </w:tr>
      <w:tr w14:paraId="4058FC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1177" w:type="dxa"/>
            <w:tcMar>
              <w:top w:w="16" w:type="dxa"/>
              <w:left w:w="16" w:type="dxa"/>
              <w:right w:w="16" w:type="dxa"/>
            </w:tcMar>
            <w:vAlign w:val="center"/>
          </w:tcPr>
          <w:p w14:paraId="5907C9B7">
            <w:pPr>
              <w:spacing w:line="400" w:lineRule="exact"/>
              <w:jc w:val="center"/>
              <w:rPr>
                <w:rFonts w:eastAsiaTheme="minorEastAsia"/>
                <w:color w:val="auto"/>
                <w:sz w:val="24"/>
              </w:rPr>
            </w:pPr>
            <w:r>
              <w:rPr>
                <w:rFonts w:eastAsiaTheme="minorEastAsia"/>
                <w:color w:val="auto"/>
                <w:sz w:val="24"/>
              </w:rPr>
              <w:t>国民经济</w:t>
            </w:r>
          </w:p>
          <w:p w14:paraId="49FB2405">
            <w:pPr>
              <w:spacing w:line="400" w:lineRule="exact"/>
              <w:jc w:val="center"/>
              <w:rPr>
                <w:rFonts w:eastAsiaTheme="minorEastAsia"/>
                <w:color w:val="auto"/>
                <w:sz w:val="24"/>
              </w:rPr>
            </w:pPr>
            <w:r>
              <w:rPr>
                <w:rFonts w:eastAsiaTheme="minorEastAsia"/>
                <w:color w:val="auto"/>
                <w:sz w:val="24"/>
              </w:rPr>
              <w:t>行业类别</w:t>
            </w:r>
          </w:p>
        </w:tc>
        <w:tc>
          <w:tcPr>
            <w:tcW w:w="3393" w:type="dxa"/>
            <w:vAlign w:val="center"/>
          </w:tcPr>
          <w:p w14:paraId="127D9FAB">
            <w:pPr>
              <w:spacing w:line="400" w:lineRule="exact"/>
              <w:jc w:val="left"/>
              <w:rPr>
                <w:rFonts w:eastAsiaTheme="minorEastAsia"/>
                <w:color w:val="auto"/>
                <w:sz w:val="24"/>
              </w:rPr>
            </w:pPr>
            <w:r>
              <w:rPr>
                <w:rFonts w:hint="eastAsia" w:eastAsiaTheme="minorEastAsia"/>
                <w:color w:val="auto"/>
                <w:sz w:val="24"/>
              </w:rPr>
              <w:t>C1751 化纤织造加工</w:t>
            </w:r>
          </w:p>
        </w:tc>
        <w:tc>
          <w:tcPr>
            <w:tcW w:w="1272" w:type="dxa"/>
            <w:vAlign w:val="center"/>
          </w:tcPr>
          <w:p w14:paraId="40984D63">
            <w:pPr>
              <w:spacing w:line="400" w:lineRule="exact"/>
              <w:jc w:val="center"/>
              <w:rPr>
                <w:rFonts w:eastAsiaTheme="minorEastAsia"/>
                <w:color w:val="auto"/>
                <w:sz w:val="24"/>
              </w:rPr>
            </w:pPr>
            <w:bookmarkStart w:id="3" w:name="_Hlk49843745"/>
            <w:r>
              <w:rPr>
                <w:rFonts w:eastAsiaTheme="minorEastAsia"/>
                <w:color w:val="auto"/>
                <w:sz w:val="24"/>
              </w:rPr>
              <w:t>建设项目</w:t>
            </w:r>
          </w:p>
          <w:p w14:paraId="7836D8EB">
            <w:pPr>
              <w:spacing w:line="400" w:lineRule="exact"/>
              <w:jc w:val="center"/>
              <w:rPr>
                <w:rFonts w:eastAsiaTheme="minorEastAsia"/>
                <w:color w:val="auto"/>
                <w:sz w:val="24"/>
              </w:rPr>
            </w:pPr>
            <w:r>
              <w:rPr>
                <w:rFonts w:eastAsiaTheme="minorEastAsia"/>
                <w:color w:val="auto"/>
                <w:sz w:val="24"/>
              </w:rPr>
              <w:t>行业类别</w:t>
            </w:r>
            <w:bookmarkEnd w:id="3"/>
          </w:p>
        </w:tc>
        <w:tc>
          <w:tcPr>
            <w:tcW w:w="3682" w:type="dxa"/>
            <w:vAlign w:val="center"/>
          </w:tcPr>
          <w:p w14:paraId="2C97DDE9">
            <w:pPr>
              <w:spacing w:line="400" w:lineRule="exact"/>
              <w:jc w:val="left"/>
              <w:rPr>
                <w:rFonts w:eastAsiaTheme="minorEastAsia"/>
                <w:color w:val="auto"/>
                <w:sz w:val="24"/>
              </w:rPr>
            </w:pPr>
            <w:r>
              <w:rPr>
                <w:rFonts w:hint="eastAsia" w:eastAsiaTheme="minorEastAsia"/>
                <w:color w:val="auto"/>
                <w:sz w:val="24"/>
              </w:rPr>
              <w:t>十四、纺织业 17，28 化纤织造及印染精加工 175</w:t>
            </w:r>
          </w:p>
        </w:tc>
      </w:tr>
      <w:tr w14:paraId="6683E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177" w:type="dxa"/>
            <w:tcMar>
              <w:top w:w="16" w:type="dxa"/>
              <w:left w:w="16" w:type="dxa"/>
              <w:right w:w="16" w:type="dxa"/>
            </w:tcMar>
            <w:vAlign w:val="center"/>
          </w:tcPr>
          <w:p w14:paraId="788AF243">
            <w:pPr>
              <w:spacing w:line="400" w:lineRule="exact"/>
              <w:jc w:val="center"/>
              <w:rPr>
                <w:rFonts w:eastAsiaTheme="minorEastAsia"/>
                <w:color w:val="auto"/>
                <w:sz w:val="24"/>
              </w:rPr>
            </w:pPr>
            <w:r>
              <w:rPr>
                <w:rFonts w:eastAsiaTheme="minorEastAsia"/>
                <w:color w:val="auto"/>
                <w:sz w:val="24"/>
              </w:rPr>
              <w:t>建设性质</w:t>
            </w:r>
          </w:p>
        </w:tc>
        <w:tc>
          <w:tcPr>
            <w:tcW w:w="3393" w:type="dxa"/>
            <w:vAlign w:val="center"/>
          </w:tcPr>
          <w:p w14:paraId="276CDA39">
            <w:pPr>
              <w:spacing w:line="400" w:lineRule="exact"/>
              <w:jc w:val="left"/>
              <w:rPr>
                <w:rFonts w:eastAsiaTheme="minorEastAsia"/>
                <w:color w:val="auto"/>
                <w:sz w:val="24"/>
              </w:rPr>
            </w:pPr>
            <w:r>
              <w:rPr>
                <w:rFonts w:eastAsiaTheme="minorEastAsia"/>
                <w:color w:val="auto"/>
                <w:sz w:val="24"/>
              </w:rPr>
              <w:sym w:font="Wingdings 2" w:char="0052"/>
            </w:r>
            <w:r>
              <w:rPr>
                <w:rFonts w:eastAsiaTheme="minorEastAsia"/>
                <w:color w:val="auto"/>
                <w:sz w:val="24"/>
              </w:rPr>
              <w:t>新建（迁建）</w:t>
            </w:r>
          </w:p>
          <w:p w14:paraId="6E139B1D">
            <w:pPr>
              <w:spacing w:line="400" w:lineRule="exact"/>
              <w:jc w:val="left"/>
              <w:rPr>
                <w:rFonts w:eastAsiaTheme="minorEastAsia"/>
                <w:color w:val="auto"/>
                <w:sz w:val="24"/>
              </w:rPr>
            </w:pPr>
            <w:r>
              <w:rPr>
                <w:rFonts w:eastAsiaTheme="minorEastAsia"/>
                <w:color w:val="auto"/>
                <w:sz w:val="24"/>
              </w:rPr>
              <w:sym w:font="Wingdings 2" w:char="00A3"/>
            </w:r>
            <w:r>
              <w:rPr>
                <w:rFonts w:eastAsiaTheme="minorEastAsia"/>
                <w:color w:val="auto"/>
                <w:sz w:val="24"/>
              </w:rPr>
              <w:t>改建</w:t>
            </w:r>
          </w:p>
          <w:p w14:paraId="19C5A988">
            <w:pPr>
              <w:spacing w:line="400" w:lineRule="exact"/>
              <w:jc w:val="left"/>
              <w:rPr>
                <w:rFonts w:eastAsiaTheme="minorEastAsia"/>
                <w:color w:val="auto"/>
                <w:sz w:val="24"/>
              </w:rPr>
            </w:pPr>
            <w:r>
              <w:rPr>
                <w:rFonts w:eastAsiaTheme="minorEastAsia"/>
                <w:color w:val="auto"/>
                <w:sz w:val="24"/>
              </w:rPr>
              <w:sym w:font="Wingdings 2" w:char="00A3"/>
            </w:r>
            <w:r>
              <w:rPr>
                <w:rFonts w:eastAsiaTheme="minorEastAsia"/>
                <w:color w:val="auto"/>
                <w:sz w:val="24"/>
              </w:rPr>
              <w:t>扩建</w:t>
            </w:r>
          </w:p>
          <w:p w14:paraId="67FD98B0">
            <w:pPr>
              <w:spacing w:line="400" w:lineRule="exact"/>
              <w:jc w:val="left"/>
              <w:rPr>
                <w:rFonts w:eastAsiaTheme="minorEastAsia"/>
                <w:color w:val="auto"/>
                <w:sz w:val="24"/>
              </w:rPr>
            </w:pPr>
            <w:r>
              <w:rPr>
                <w:rFonts w:eastAsiaTheme="minorEastAsia"/>
                <w:color w:val="auto"/>
                <w:sz w:val="24"/>
              </w:rPr>
              <w:sym w:font="Wingdings 2" w:char="00A3"/>
            </w:r>
            <w:r>
              <w:rPr>
                <w:rFonts w:eastAsiaTheme="minorEastAsia"/>
                <w:color w:val="auto"/>
                <w:sz w:val="24"/>
              </w:rPr>
              <w:t>技术改造</w:t>
            </w:r>
          </w:p>
        </w:tc>
        <w:tc>
          <w:tcPr>
            <w:tcW w:w="1272" w:type="dxa"/>
            <w:vAlign w:val="center"/>
          </w:tcPr>
          <w:p w14:paraId="1DCCC7E3">
            <w:pPr>
              <w:spacing w:line="400" w:lineRule="exact"/>
              <w:jc w:val="center"/>
              <w:rPr>
                <w:rFonts w:eastAsiaTheme="minorEastAsia"/>
                <w:color w:val="auto"/>
                <w:sz w:val="24"/>
              </w:rPr>
            </w:pPr>
            <w:r>
              <w:rPr>
                <w:rFonts w:eastAsiaTheme="minorEastAsia"/>
                <w:color w:val="auto"/>
                <w:sz w:val="24"/>
              </w:rPr>
              <w:t>建设项目</w:t>
            </w:r>
          </w:p>
          <w:p w14:paraId="734D9112">
            <w:pPr>
              <w:spacing w:line="400" w:lineRule="exact"/>
              <w:jc w:val="center"/>
              <w:rPr>
                <w:rFonts w:eastAsiaTheme="minorEastAsia"/>
                <w:color w:val="auto"/>
                <w:sz w:val="24"/>
              </w:rPr>
            </w:pPr>
            <w:r>
              <w:rPr>
                <w:rFonts w:eastAsiaTheme="minorEastAsia"/>
                <w:color w:val="auto"/>
                <w:sz w:val="24"/>
              </w:rPr>
              <w:t>申报情形</w:t>
            </w:r>
          </w:p>
        </w:tc>
        <w:tc>
          <w:tcPr>
            <w:tcW w:w="3682" w:type="dxa"/>
            <w:vAlign w:val="center"/>
          </w:tcPr>
          <w:p w14:paraId="5BE6B887">
            <w:pPr>
              <w:spacing w:line="400" w:lineRule="exact"/>
              <w:jc w:val="left"/>
              <w:rPr>
                <w:rFonts w:eastAsiaTheme="minorEastAsia"/>
                <w:color w:val="auto"/>
                <w:sz w:val="24"/>
              </w:rPr>
            </w:pPr>
            <w:r>
              <w:rPr>
                <w:rFonts w:eastAsiaTheme="minorEastAsia"/>
                <w:color w:val="auto"/>
                <w:sz w:val="24"/>
              </w:rPr>
              <w:sym w:font="Wingdings 2" w:char="0052"/>
            </w:r>
            <w:r>
              <w:rPr>
                <w:rFonts w:eastAsiaTheme="minorEastAsia"/>
                <w:color w:val="auto"/>
                <w:sz w:val="24"/>
              </w:rPr>
              <w:t>首次申报项目</w:t>
            </w:r>
          </w:p>
          <w:p w14:paraId="34EC1281">
            <w:pPr>
              <w:spacing w:line="400" w:lineRule="exact"/>
              <w:jc w:val="left"/>
              <w:rPr>
                <w:rFonts w:eastAsiaTheme="minorEastAsia"/>
                <w:color w:val="auto"/>
                <w:sz w:val="24"/>
              </w:rPr>
            </w:pPr>
            <w:r>
              <w:rPr>
                <w:rFonts w:eastAsiaTheme="minorEastAsia"/>
                <w:color w:val="auto"/>
                <w:sz w:val="24"/>
              </w:rPr>
              <w:sym w:font="Wingdings 2" w:char="00A3"/>
            </w:r>
            <w:r>
              <w:rPr>
                <w:rFonts w:eastAsiaTheme="minorEastAsia"/>
                <w:color w:val="auto"/>
                <w:sz w:val="24"/>
              </w:rPr>
              <w:t>不予批准后再次申报项目</w:t>
            </w:r>
          </w:p>
          <w:p w14:paraId="70C07289">
            <w:pPr>
              <w:spacing w:line="400" w:lineRule="exact"/>
              <w:jc w:val="left"/>
              <w:rPr>
                <w:rFonts w:eastAsiaTheme="minorEastAsia"/>
                <w:color w:val="auto"/>
                <w:sz w:val="24"/>
              </w:rPr>
            </w:pPr>
            <w:r>
              <w:rPr>
                <w:rFonts w:eastAsiaTheme="minorEastAsia"/>
                <w:color w:val="auto"/>
                <w:sz w:val="24"/>
              </w:rPr>
              <w:sym w:font="Wingdings 2" w:char="00A3"/>
            </w:r>
            <w:r>
              <w:rPr>
                <w:rFonts w:eastAsiaTheme="minorEastAsia"/>
                <w:color w:val="auto"/>
                <w:sz w:val="24"/>
              </w:rPr>
              <w:t>超五年重新审核项目</w:t>
            </w:r>
          </w:p>
          <w:p w14:paraId="11862DFA">
            <w:pPr>
              <w:spacing w:line="400" w:lineRule="exact"/>
              <w:jc w:val="left"/>
              <w:rPr>
                <w:rFonts w:eastAsiaTheme="minorEastAsia"/>
                <w:color w:val="auto"/>
                <w:sz w:val="24"/>
              </w:rPr>
            </w:pPr>
            <w:r>
              <w:rPr>
                <w:rFonts w:eastAsiaTheme="minorEastAsia"/>
                <w:color w:val="auto"/>
                <w:sz w:val="24"/>
              </w:rPr>
              <w:sym w:font="Wingdings 2" w:char="00A3"/>
            </w:r>
            <w:r>
              <w:rPr>
                <w:rFonts w:eastAsiaTheme="minorEastAsia"/>
                <w:color w:val="auto"/>
                <w:sz w:val="24"/>
              </w:rPr>
              <w:t>重大变动重新报批项目</w:t>
            </w:r>
          </w:p>
        </w:tc>
      </w:tr>
      <w:tr w14:paraId="7255E0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92" w:hRule="atLeast"/>
          <w:jc w:val="center"/>
        </w:trPr>
        <w:tc>
          <w:tcPr>
            <w:tcW w:w="1177" w:type="dxa"/>
            <w:tcMar>
              <w:top w:w="16" w:type="dxa"/>
              <w:left w:w="16" w:type="dxa"/>
              <w:right w:w="16" w:type="dxa"/>
            </w:tcMar>
            <w:vAlign w:val="center"/>
          </w:tcPr>
          <w:p w14:paraId="64D09966">
            <w:pPr>
              <w:spacing w:line="400" w:lineRule="exact"/>
              <w:jc w:val="center"/>
              <w:rPr>
                <w:rFonts w:eastAsiaTheme="minorEastAsia"/>
                <w:color w:val="auto"/>
                <w:sz w:val="24"/>
              </w:rPr>
            </w:pPr>
            <w:r>
              <w:rPr>
                <w:rFonts w:eastAsiaTheme="minorEastAsia"/>
                <w:color w:val="auto"/>
                <w:sz w:val="24"/>
              </w:rPr>
              <w:t>项目审批（核准/备案）部门（选填）</w:t>
            </w:r>
          </w:p>
        </w:tc>
        <w:tc>
          <w:tcPr>
            <w:tcW w:w="3393" w:type="dxa"/>
            <w:vAlign w:val="center"/>
          </w:tcPr>
          <w:p w14:paraId="0D1015EA">
            <w:pPr>
              <w:spacing w:line="400" w:lineRule="exact"/>
              <w:jc w:val="center"/>
              <w:rPr>
                <w:rFonts w:eastAsiaTheme="minorEastAsia"/>
                <w:color w:val="auto"/>
                <w:sz w:val="24"/>
              </w:rPr>
            </w:pPr>
            <w:r>
              <w:rPr>
                <w:rFonts w:eastAsiaTheme="minorEastAsia"/>
                <w:color w:val="auto"/>
                <w:sz w:val="24"/>
              </w:rPr>
              <w:t>宿迁泗阳县数据局</w:t>
            </w:r>
          </w:p>
        </w:tc>
        <w:tc>
          <w:tcPr>
            <w:tcW w:w="1272" w:type="dxa"/>
            <w:vAlign w:val="center"/>
          </w:tcPr>
          <w:p w14:paraId="306F7991">
            <w:pPr>
              <w:spacing w:line="400" w:lineRule="exact"/>
              <w:jc w:val="center"/>
              <w:rPr>
                <w:rFonts w:eastAsiaTheme="minorEastAsia"/>
                <w:color w:val="auto"/>
                <w:sz w:val="24"/>
              </w:rPr>
            </w:pPr>
            <w:r>
              <w:rPr>
                <w:rFonts w:eastAsiaTheme="minorEastAsia"/>
                <w:color w:val="auto"/>
                <w:sz w:val="24"/>
              </w:rPr>
              <w:t>项目审批（核准/</w:t>
            </w:r>
          </w:p>
          <w:p w14:paraId="024AFD89">
            <w:pPr>
              <w:spacing w:line="400" w:lineRule="exact"/>
              <w:jc w:val="center"/>
              <w:rPr>
                <w:rFonts w:eastAsiaTheme="minorEastAsia"/>
                <w:color w:val="auto"/>
                <w:sz w:val="24"/>
              </w:rPr>
            </w:pPr>
            <w:r>
              <w:rPr>
                <w:rFonts w:eastAsiaTheme="minorEastAsia"/>
                <w:color w:val="auto"/>
                <w:sz w:val="24"/>
              </w:rPr>
              <w:t>备案）文号（选填）</w:t>
            </w:r>
          </w:p>
        </w:tc>
        <w:tc>
          <w:tcPr>
            <w:tcW w:w="3682" w:type="dxa"/>
            <w:vAlign w:val="center"/>
          </w:tcPr>
          <w:p w14:paraId="3F580B87">
            <w:pPr>
              <w:spacing w:line="400" w:lineRule="exact"/>
              <w:jc w:val="center"/>
              <w:rPr>
                <w:rFonts w:eastAsiaTheme="minorEastAsia"/>
                <w:color w:val="auto"/>
                <w:sz w:val="24"/>
              </w:rPr>
            </w:pPr>
            <w:r>
              <w:rPr>
                <w:rFonts w:eastAsiaTheme="minorEastAsia"/>
                <w:color w:val="auto"/>
                <w:sz w:val="24"/>
              </w:rPr>
              <w:t>泗阳数据备〔2025〕76号</w:t>
            </w:r>
          </w:p>
        </w:tc>
      </w:tr>
      <w:tr w14:paraId="082DD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7" w:type="dxa"/>
            <w:tcMar>
              <w:top w:w="16" w:type="dxa"/>
              <w:left w:w="16" w:type="dxa"/>
              <w:right w:w="16" w:type="dxa"/>
            </w:tcMar>
            <w:vAlign w:val="center"/>
          </w:tcPr>
          <w:p w14:paraId="7E982904">
            <w:pPr>
              <w:spacing w:line="400" w:lineRule="exact"/>
              <w:jc w:val="center"/>
              <w:rPr>
                <w:rFonts w:eastAsiaTheme="minorEastAsia"/>
                <w:color w:val="auto"/>
                <w:sz w:val="24"/>
              </w:rPr>
            </w:pPr>
            <w:r>
              <w:rPr>
                <w:rFonts w:eastAsiaTheme="minorEastAsia"/>
                <w:color w:val="auto"/>
                <w:sz w:val="24"/>
              </w:rPr>
              <w:t>总投资</w:t>
            </w:r>
          </w:p>
          <w:p w14:paraId="5CAE2A9F">
            <w:pPr>
              <w:spacing w:line="400" w:lineRule="exact"/>
              <w:jc w:val="center"/>
              <w:rPr>
                <w:rFonts w:eastAsiaTheme="minorEastAsia"/>
                <w:color w:val="auto"/>
                <w:sz w:val="24"/>
              </w:rPr>
            </w:pPr>
            <w:r>
              <w:rPr>
                <w:rFonts w:eastAsiaTheme="minorEastAsia"/>
                <w:color w:val="auto"/>
                <w:sz w:val="24"/>
              </w:rPr>
              <w:t>（万元）</w:t>
            </w:r>
          </w:p>
        </w:tc>
        <w:tc>
          <w:tcPr>
            <w:tcW w:w="3393" w:type="dxa"/>
            <w:vAlign w:val="center"/>
          </w:tcPr>
          <w:p w14:paraId="4E92F9D6">
            <w:pPr>
              <w:spacing w:line="400" w:lineRule="exact"/>
              <w:jc w:val="center"/>
              <w:rPr>
                <w:rFonts w:eastAsiaTheme="minorEastAsia"/>
                <w:color w:val="auto"/>
                <w:sz w:val="24"/>
              </w:rPr>
            </w:pPr>
            <w:r>
              <w:rPr>
                <w:rFonts w:eastAsiaTheme="minorEastAsia"/>
                <w:color w:val="auto"/>
                <w:sz w:val="24"/>
              </w:rPr>
              <w:t>85000</w:t>
            </w:r>
          </w:p>
        </w:tc>
        <w:tc>
          <w:tcPr>
            <w:tcW w:w="1272" w:type="dxa"/>
            <w:tcMar>
              <w:top w:w="16" w:type="dxa"/>
              <w:left w:w="16" w:type="dxa"/>
              <w:right w:w="16" w:type="dxa"/>
            </w:tcMar>
            <w:vAlign w:val="center"/>
          </w:tcPr>
          <w:p w14:paraId="6990389E">
            <w:pPr>
              <w:spacing w:line="400" w:lineRule="exact"/>
              <w:jc w:val="center"/>
              <w:rPr>
                <w:rFonts w:eastAsiaTheme="minorEastAsia"/>
                <w:color w:val="auto"/>
                <w:sz w:val="24"/>
              </w:rPr>
            </w:pPr>
            <w:r>
              <w:rPr>
                <w:rFonts w:eastAsiaTheme="minorEastAsia"/>
                <w:color w:val="auto"/>
                <w:sz w:val="24"/>
              </w:rPr>
              <w:t>环保投资（万元）</w:t>
            </w:r>
          </w:p>
        </w:tc>
        <w:tc>
          <w:tcPr>
            <w:tcW w:w="3682" w:type="dxa"/>
            <w:vAlign w:val="center"/>
          </w:tcPr>
          <w:p w14:paraId="196EA56F">
            <w:pPr>
              <w:spacing w:line="400" w:lineRule="exact"/>
              <w:jc w:val="center"/>
              <w:rPr>
                <w:rFonts w:eastAsiaTheme="minorEastAsia"/>
                <w:color w:val="auto"/>
                <w:sz w:val="24"/>
              </w:rPr>
            </w:pPr>
            <w:r>
              <w:rPr>
                <w:rFonts w:hint="eastAsia" w:eastAsiaTheme="minorEastAsia"/>
                <w:color w:val="auto"/>
                <w:sz w:val="24"/>
              </w:rPr>
              <w:t>350</w:t>
            </w:r>
          </w:p>
        </w:tc>
      </w:tr>
      <w:tr w14:paraId="4662B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7" w:type="dxa"/>
            <w:tcMar>
              <w:top w:w="16" w:type="dxa"/>
              <w:left w:w="16" w:type="dxa"/>
              <w:right w:w="16" w:type="dxa"/>
            </w:tcMar>
            <w:vAlign w:val="center"/>
          </w:tcPr>
          <w:p w14:paraId="1E2CC8CD">
            <w:pPr>
              <w:spacing w:line="400" w:lineRule="exact"/>
              <w:jc w:val="center"/>
              <w:rPr>
                <w:rFonts w:eastAsiaTheme="minorEastAsia"/>
                <w:color w:val="auto"/>
                <w:sz w:val="24"/>
              </w:rPr>
            </w:pPr>
            <w:r>
              <w:rPr>
                <w:rFonts w:eastAsiaTheme="minorEastAsia"/>
                <w:color w:val="auto"/>
                <w:sz w:val="24"/>
              </w:rPr>
              <w:t>环保投资占比（%）</w:t>
            </w:r>
          </w:p>
        </w:tc>
        <w:tc>
          <w:tcPr>
            <w:tcW w:w="3393" w:type="dxa"/>
            <w:vAlign w:val="center"/>
          </w:tcPr>
          <w:p w14:paraId="0A5FE7D0">
            <w:pPr>
              <w:spacing w:line="400" w:lineRule="exact"/>
              <w:jc w:val="center"/>
              <w:rPr>
                <w:rFonts w:eastAsiaTheme="minorEastAsia"/>
                <w:color w:val="auto"/>
                <w:sz w:val="24"/>
              </w:rPr>
            </w:pPr>
            <w:r>
              <w:rPr>
                <w:rFonts w:hint="eastAsia" w:eastAsiaTheme="minorEastAsia"/>
                <w:color w:val="auto"/>
                <w:sz w:val="24"/>
              </w:rPr>
              <w:t>0.41</w:t>
            </w:r>
          </w:p>
        </w:tc>
        <w:tc>
          <w:tcPr>
            <w:tcW w:w="1272" w:type="dxa"/>
            <w:tcMar>
              <w:top w:w="16" w:type="dxa"/>
              <w:left w:w="16" w:type="dxa"/>
              <w:right w:w="16" w:type="dxa"/>
            </w:tcMar>
            <w:vAlign w:val="center"/>
          </w:tcPr>
          <w:p w14:paraId="70A9B991">
            <w:pPr>
              <w:spacing w:line="400" w:lineRule="exact"/>
              <w:jc w:val="center"/>
              <w:rPr>
                <w:rFonts w:eastAsiaTheme="minorEastAsia"/>
                <w:color w:val="auto"/>
                <w:sz w:val="24"/>
              </w:rPr>
            </w:pPr>
            <w:r>
              <w:rPr>
                <w:rFonts w:eastAsiaTheme="minorEastAsia"/>
                <w:color w:val="auto"/>
                <w:sz w:val="24"/>
              </w:rPr>
              <w:t>施工工期</w:t>
            </w:r>
          </w:p>
        </w:tc>
        <w:tc>
          <w:tcPr>
            <w:tcW w:w="3682" w:type="dxa"/>
            <w:vAlign w:val="center"/>
          </w:tcPr>
          <w:p w14:paraId="348CCA30">
            <w:pPr>
              <w:spacing w:line="400" w:lineRule="exact"/>
              <w:jc w:val="center"/>
              <w:rPr>
                <w:rFonts w:eastAsiaTheme="minorEastAsia"/>
                <w:color w:val="auto"/>
                <w:sz w:val="24"/>
              </w:rPr>
            </w:pPr>
            <w:r>
              <w:rPr>
                <w:rFonts w:hint="eastAsia" w:eastAsiaTheme="minorEastAsia"/>
                <w:color w:val="auto"/>
                <w:sz w:val="24"/>
              </w:rPr>
              <w:t>12个月</w:t>
            </w:r>
          </w:p>
        </w:tc>
      </w:tr>
      <w:tr w14:paraId="70CAB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7" w:type="dxa"/>
            <w:tcMar>
              <w:top w:w="16" w:type="dxa"/>
              <w:left w:w="16" w:type="dxa"/>
              <w:right w:w="16" w:type="dxa"/>
            </w:tcMar>
            <w:vAlign w:val="center"/>
          </w:tcPr>
          <w:p w14:paraId="13380F31">
            <w:pPr>
              <w:spacing w:line="400" w:lineRule="exact"/>
              <w:jc w:val="center"/>
              <w:rPr>
                <w:rFonts w:eastAsiaTheme="minorEastAsia"/>
                <w:color w:val="auto"/>
                <w:sz w:val="24"/>
              </w:rPr>
            </w:pPr>
            <w:r>
              <w:rPr>
                <w:rFonts w:eastAsiaTheme="minorEastAsia"/>
                <w:color w:val="auto"/>
                <w:sz w:val="24"/>
              </w:rPr>
              <w:t>是否开工建设</w:t>
            </w:r>
          </w:p>
        </w:tc>
        <w:tc>
          <w:tcPr>
            <w:tcW w:w="3393" w:type="dxa"/>
            <w:vAlign w:val="center"/>
          </w:tcPr>
          <w:p w14:paraId="2382719B">
            <w:pPr>
              <w:spacing w:line="400" w:lineRule="exact"/>
              <w:jc w:val="left"/>
              <w:rPr>
                <w:rFonts w:eastAsiaTheme="minorEastAsia"/>
                <w:color w:val="auto"/>
                <w:sz w:val="24"/>
              </w:rPr>
            </w:pPr>
            <w:r>
              <w:rPr>
                <w:rFonts w:eastAsiaTheme="minorEastAsia"/>
                <w:color w:val="auto"/>
                <w:sz w:val="24"/>
              </w:rPr>
              <w:sym w:font="Wingdings 2" w:char="0052"/>
            </w:r>
            <w:r>
              <w:rPr>
                <w:rFonts w:eastAsiaTheme="minorEastAsia"/>
                <w:color w:val="auto"/>
                <w:sz w:val="24"/>
              </w:rPr>
              <w:t>否</w:t>
            </w:r>
          </w:p>
          <w:p w14:paraId="46E14086">
            <w:pPr>
              <w:spacing w:line="400" w:lineRule="exact"/>
              <w:jc w:val="left"/>
              <w:rPr>
                <w:rFonts w:eastAsiaTheme="minorEastAsia"/>
                <w:color w:val="auto"/>
                <w:sz w:val="24"/>
              </w:rPr>
            </w:pPr>
            <w:r>
              <w:rPr>
                <w:rFonts w:eastAsiaTheme="minorEastAsia"/>
                <w:color w:val="auto"/>
                <w:sz w:val="24"/>
              </w:rPr>
              <w:sym w:font="Wingdings 2" w:char="00A3"/>
            </w:r>
            <w:r>
              <w:rPr>
                <w:rFonts w:eastAsiaTheme="minorEastAsia"/>
                <w:color w:val="auto"/>
                <w:sz w:val="24"/>
              </w:rPr>
              <w:t>是：</w:t>
            </w:r>
            <w:r>
              <w:rPr>
                <w:rFonts w:hint="eastAsia" w:eastAsiaTheme="minorEastAsia"/>
                <w:color w:val="auto"/>
                <w:sz w:val="24"/>
                <w:u w:val="single"/>
              </w:rPr>
              <w:t xml:space="preserve">  </w:t>
            </w:r>
            <w:r>
              <w:rPr>
                <w:rFonts w:eastAsiaTheme="minorEastAsia"/>
                <w:color w:val="auto"/>
                <w:sz w:val="24"/>
                <w:u w:val="single"/>
              </w:rPr>
              <w:t xml:space="preserve">               </w:t>
            </w:r>
          </w:p>
        </w:tc>
        <w:tc>
          <w:tcPr>
            <w:tcW w:w="1272" w:type="dxa"/>
            <w:tcMar>
              <w:top w:w="16" w:type="dxa"/>
              <w:left w:w="16" w:type="dxa"/>
              <w:right w:w="16" w:type="dxa"/>
            </w:tcMar>
            <w:vAlign w:val="center"/>
          </w:tcPr>
          <w:p w14:paraId="26A226D7">
            <w:pPr>
              <w:spacing w:line="400" w:lineRule="exact"/>
              <w:jc w:val="center"/>
              <w:rPr>
                <w:rFonts w:eastAsiaTheme="minorEastAsia"/>
                <w:color w:val="auto"/>
                <w:sz w:val="24"/>
              </w:rPr>
            </w:pPr>
            <w:r>
              <w:rPr>
                <w:rFonts w:eastAsiaTheme="minorEastAsia"/>
                <w:color w:val="auto"/>
                <w:sz w:val="24"/>
              </w:rPr>
              <w:t>用地（用海）</w:t>
            </w:r>
          </w:p>
          <w:p w14:paraId="6FA1B391">
            <w:pPr>
              <w:spacing w:line="400" w:lineRule="exact"/>
              <w:jc w:val="center"/>
              <w:rPr>
                <w:rFonts w:eastAsiaTheme="minorEastAsia"/>
                <w:color w:val="auto"/>
                <w:sz w:val="24"/>
              </w:rPr>
            </w:pPr>
            <w:r>
              <w:rPr>
                <w:rFonts w:eastAsiaTheme="minorEastAsia"/>
                <w:color w:val="auto"/>
                <w:sz w:val="24"/>
              </w:rPr>
              <w:t>面积（m</w:t>
            </w:r>
            <w:r>
              <w:rPr>
                <w:rFonts w:eastAsiaTheme="minorEastAsia"/>
                <w:color w:val="auto"/>
                <w:sz w:val="24"/>
                <w:vertAlign w:val="superscript"/>
              </w:rPr>
              <w:t>2</w:t>
            </w:r>
            <w:r>
              <w:rPr>
                <w:rFonts w:eastAsiaTheme="minorEastAsia"/>
                <w:color w:val="auto"/>
                <w:sz w:val="24"/>
              </w:rPr>
              <w:t>）</w:t>
            </w:r>
          </w:p>
        </w:tc>
        <w:tc>
          <w:tcPr>
            <w:tcW w:w="3682" w:type="dxa"/>
            <w:vAlign w:val="center"/>
          </w:tcPr>
          <w:p w14:paraId="5EC1C7E5">
            <w:pPr>
              <w:spacing w:line="400" w:lineRule="exact"/>
              <w:jc w:val="center"/>
              <w:rPr>
                <w:rFonts w:eastAsiaTheme="minorEastAsia"/>
                <w:color w:val="auto"/>
                <w:sz w:val="24"/>
              </w:rPr>
            </w:pPr>
            <w:r>
              <w:rPr>
                <w:rFonts w:hint="eastAsia" w:eastAsiaTheme="minorEastAsia"/>
                <w:color w:val="auto"/>
                <w:sz w:val="24"/>
              </w:rPr>
              <w:t>44000</w:t>
            </w:r>
          </w:p>
        </w:tc>
      </w:tr>
      <w:tr w14:paraId="7632B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vAlign w:val="center"/>
          </w:tcPr>
          <w:p w14:paraId="0AA2DEA4">
            <w:pPr>
              <w:spacing w:line="400" w:lineRule="exact"/>
              <w:jc w:val="center"/>
              <w:rPr>
                <w:rFonts w:eastAsiaTheme="minorEastAsia"/>
                <w:color w:val="auto"/>
                <w:sz w:val="24"/>
              </w:rPr>
            </w:pPr>
            <w:r>
              <w:rPr>
                <w:rFonts w:eastAsiaTheme="minorEastAsia"/>
                <w:color w:val="auto"/>
                <w:sz w:val="24"/>
              </w:rPr>
              <w:t>专项评价设置情况</w:t>
            </w:r>
          </w:p>
        </w:tc>
        <w:tc>
          <w:tcPr>
            <w:tcW w:w="8347" w:type="dxa"/>
            <w:gridSpan w:val="3"/>
            <w:vAlign w:val="center"/>
          </w:tcPr>
          <w:p w14:paraId="07F8E09D">
            <w:pPr>
              <w:jc w:val="center"/>
              <w:rPr>
                <w:color w:val="auto"/>
              </w:rPr>
            </w:pPr>
            <w:r>
              <w:rPr>
                <w:rFonts w:eastAsiaTheme="minorEastAsia"/>
                <w:color w:val="auto"/>
                <w:sz w:val="24"/>
              </w:rPr>
              <w:t>无</w:t>
            </w:r>
          </w:p>
        </w:tc>
      </w:tr>
      <w:tr w14:paraId="26623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77" w:type="dxa"/>
            <w:vAlign w:val="center"/>
          </w:tcPr>
          <w:p w14:paraId="65997056">
            <w:pPr>
              <w:spacing w:line="400" w:lineRule="exact"/>
              <w:jc w:val="center"/>
              <w:rPr>
                <w:rFonts w:eastAsiaTheme="minorEastAsia"/>
                <w:color w:val="auto"/>
                <w:sz w:val="24"/>
              </w:rPr>
            </w:pPr>
            <w:r>
              <w:rPr>
                <w:rFonts w:eastAsiaTheme="minorEastAsia"/>
                <w:color w:val="auto"/>
                <w:sz w:val="24"/>
              </w:rPr>
              <w:t>规划</w:t>
            </w:r>
          </w:p>
          <w:p w14:paraId="47AE2F13">
            <w:pPr>
              <w:spacing w:line="400" w:lineRule="exact"/>
              <w:jc w:val="center"/>
              <w:rPr>
                <w:rFonts w:eastAsiaTheme="minorEastAsia"/>
                <w:color w:val="auto"/>
                <w:sz w:val="24"/>
              </w:rPr>
            </w:pPr>
            <w:r>
              <w:rPr>
                <w:rFonts w:eastAsiaTheme="minorEastAsia"/>
                <w:color w:val="auto"/>
                <w:sz w:val="24"/>
              </w:rPr>
              <w:t>情况</w:t>
            </w:r>
          </w:p>
        </w:tc>
        <w:tc>
          <w:tcPr>
            <w:tcW w:w="8347" w:type="dxa"/>
            <w:gridSpan w:val="3"/>
            <w:vAlign w:val="center"/>
          </w:tcPr>
          <w:p w14:paraId="58B88235">
            <w:pPr>
              <w:spacing w:line="400" w:lineRule="exact"/>
              <w:jc w:val="left"/>
              <w:rPr>
                <w:rFonts w:eastAsiaTheme="minorEastAsia"/>
                <w:color w:val="auto"/>
                <w:sz w:val="24"/>
              </w:rPr>
            </w:pPr>
            <w:r>
              <w:rPr>
                <w:rFonts w:eastAsiaTheme="minorEastAsia"/>
                <w:b/>
                <w:bCs/>
                <w:color w:val="auto"/>
                <w:sz w:val="24"/>
              </w:rPr>
              <w:t>规划名称：</w:t>
            </w:r>
            <w:r>
              <w:rPr>
                <w:rFonts w:eastAsiaTheme="minorEastAsia"/>
                <w:color w:val="auto"/>
                <w:sz w:val="24"/>
              </w:rPr>
              <w:t>《泗阳县新袁镇工业园区开发建设规划》（2021~2035）</w:t>
            </w:r>
          </w:p>
          <w:p w14:paraId="14C7364E">
            <w:pPr>
              <w:spacing w:line="400" w:lineRule="exact"/>
              <w:jc w:val="left"/>
              <w:rPr>
                <w:color w:val="auto"/>
              </w:rPr>
            </w:pPr>
            <w:r>
              <w:rPr>
                <w:rFonts w:eastAsiaTheme="minorEastAsia"/>
                <w:b/>
                <w:bCs/>
                <w:color w:val="auto"/>
                <w:sz w:val="24"/>
              </w:rPr>
              <w:t>审批单位</w:t>
            </w:r>
            <w:r>
              <w:rPr>
                <w:b/>
                <w:bCs/>
                <w:color w:val="auto"/>
              </w:rPr>
              <w:t>：</w:t>
            </w:r>
            <w:r>
              <w:rPr>
                <w:rFonts w:hint="eastAsia" w:eastAsiaTheme="minorEastAsia"/>
                <w:color w:val="auto"/>
                <w:sz w:val="24"/>
              </w:rPr>
              <w:t>泗阳县</w:t>
            </w:r>
            <w:r>
              <w:rPr>
                <w:rFonts w:eastAsiaTheme="minorEastAsia"/>
                <w:color w:val="auto"/>
                <w:sz w:val="24"/>
              </w:rPr>
              <w:t>新袁镇</w:t>
            </w:r>
            <w:r>
              <w:rPr>
                <w:rFonts w:hint="eastAsia" w:eastAsiaTheme="minorEastAsia"/>
                <w:color w:val="auto"/>
                <w:sz w:val="24"/>
              </w:rPr>
              <w:t>人民政府</w:t>
            </w:r>
          </w:p>
        </w:tc>
      </w:tr>
      <w:tr w14:paraId="583C0A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vAlign w:val="center"/>
          </w:tcPr>
          <w:p w14:paraId="231AC823">
            <w:pPr>
              <w:spacing w:line="400" w:lineRule="exact"/>
              <w:jc w:val="center"/>
              <w:rPr>
                <w:rFonts w:eastAsiaTheme="minorEastAsia"/>
                <w:color w:val="auto"/>
                <w:sz w:val="24"/>
              </w:rPr>
            </w:pPr>
            <w:r>
              <w:rPr>
                <w:rFonts w:eastAsiaTheme="minorEastAsia"/>
                <w:color w:val="auto"/>
                <w:sz w:val="24"/>
              </w:rPr>
              <w:t>规划环境影响评价情况</w:t>
            </w:r>
          </w:p>
        </w:tc>
        <w:tc>
          <w:tcPr>
            <w:tcW w:w="8347" w:type="dxa"/>
            <w:gridSpan w:val="3"/>
            <w:vAlign w:val="center"/>
          </w:tcPr>
          <w:p w14:paraId="1F22A2D5">
            <w:pPr>
              <w:pStyle w:val="47"/>
              <w:ind w:firstLine="0" w:firstLineChars="0"/>
              <w:rPr>
                <w:rFonts w:eastAsiaTheme="minorEastAsia"/>
                <w:color w:val="auto"/>
              </w:rPr>
            </w:pPr>
            <w:r>
              <w:rPr>
                <w:b/>
                <w:bCs/>
                <w:color w:val="auto"/>
              </w:rPr>
              <w:t>规划环境影响评价文件名称：</w:t>
            </w:r>
            <w:r>
              <w:rPr>
                <w:rFonts w:hint="eastAsia" w:eastAsiaTheme="minorEastAsia"/>
                <w:color w:val="auto"/>
              </w:rPr>
              <w:t>《泗阳县</w:t>
            </w:r>
            <w:r>
              <w:rPr>
                <w:rFonts w:eastAsiaTheme="minorEastAsia"/>
                <w:color w:val="auto"/>
              </w:rPr>
              <w:t>新袁镇</w:t>
            </w:r>
            <w:r>
              <w:rPr>
                <w:rFonts w:hint="eastAsia" w:eastAsiaTheme="minorEastAsia"/>
                <w:color w:val="auto"/>
              </w:rPr>
              <w:t>工业园区开发建设规划环境影响报告书》</w:t>
            </w:r>
          </w:p>
          <w:p w14:paraId="09A9BCFD">
            <w:pPr>
              <w:pStyle w:val="47"/>
              <w:ind w:firstLine="0" w:firstLineChars="0"/>
              <w:rPr>
                <w:rFonts w:eastAsiaTheme="minorEastAsia"/>
                <w:color w:val="auto"/>
              </w:rPr>
            </w:pPr>
            <w:r>
              <w:rPr>
                <w:b/>
                <w:bCs/>
                <w:color w:val="auto"/>
              </w:rPr>
              <w:t>审查机关：</w:t>
            </w:r>
            <w:r>
              <w:rPr>
                <w:rFonts w:eastAsiaTheme="minorEastAsia"/>
                <w:color w:val="auto"/>
              </w:rPr>
              <w:t>宿迁市生态环境局</w:t>
            </w:r>
          </w:p>
          <w:p w14:paraId="62438529">
            <w:pPr>
              <w:pStyle w:val="47"/>
              <w:ind w:firstLine="0" w:firstLineChars="0"/>
              <w:rPr>
                <w:color w:val="auto"/>
              </w:rPr>
            </w:pPr>
            <w:r>
              <w:rPr>
                <w:b/>
                <w:bCs/>
                <w:color w:val="auto"/>
              </w:rPr>
              <w:t>审查文件名称及文号：</w:t>
            </w:r>
            <w:r>
              <w:rPr>
                <w:rFonts w:eastAsiaTheme="minorEastAsia"/>
                <w:color w:val="auto"/>
              </w:rPr>
              <w:t>《</w:t>
            </w:r>
            <w:r>
              <w:rPr>
                <w:rFonts w:hint="eastAsia" w:eastAsiaTheme="minorEastAsia"/>
                <w:color w:val="auto"/>
              </w:rPr>
              <w:t>关于对泗阳县新袁镇工业园区开发建设规划环境影响报告书的审查意见</w:t>
            </w:r>
            <w:r>
              <w:rPr>
                <w:rFonts w:eastAsiaTheme="minorEastAsia"/>
                <w:color w:val="auto"/>
              </w:rPr>
              <w:t>》（宿环建管〔</w:t>
            </w:r>
            <w:r>
              <w:rPr>
                <w:rFonts w:hint="eastAsia" w:eastAsiaTheme="minorEastAsia"/>
                <w:color w:val="auto"/>
              </w:rPr>
              <w:t>2023</w:t>
            </w:r>
            <w:r>
              <w:rPr>
                <w:rFonts w:eastAsiaTheme="minorEastAsia"/>
                <w:color w:val="auto"/>
              </w:rPr>
              <w:t>〕2011号）</w:t>
            </w:r>
          </w:p>
        </w:tc>
      </w:tr>
      <w:tr w14:paraId="2B7D44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vAlign w:val="center"/>
          </w:tcPr>
          <w:p w14:paraId="22349D1F">
            <w:pPr>
              <w:rPr>
                <w:color w:val="auto"/>
              </w:rPr>
            </w:pPr>
            <w:r>
              <w:rPr>
                <w:rFonts w:eastAsiaTheme="minorEastAsia"/>
                <w:color w:val="auto"/>
                <w:sz w:val="24"/>
              </w:rPr>
              <w:t>规划及规划环境影响评价符合性分析</w:t>
            </w:r>
          </w:p>
        </w:tc>
        <w:tc>
          <w:tcPr>
            <w:tcW w:w="8347" w:type="dxa"/>
            <w:gridSpan w:val="3"/>
            <w:vAlign w:val="center"/>
          </w:tcPr>
          <w:p w14:paraId="5BC1AE92">
            <w:pPr>
              <w:pStyle w:val="47"/>
              <w:ind w:firstLine="482"/>
              <w:rPr>
                <w:b/>
                <w:bCs/>
                <w:color w:val="auto"/>
              </w:rPr>
            </w:pPr>
            <w:r>
              <w:rPr>
                <w:b/>
                <w:bCs/>
                <w:color w:val="auto"/>
              </w:rPr>
              <w:t>1、与</w:t>
            </w:r>
            <w:r>
              <w:rPr>
                <w:rFonts w:hint="eastAsia"/>
                <w:b/>
                <w:bCs/>
                <w:color w:val="auto"/>
              </w:rPr>
              <w:t>泗阳县新袁镇工业园区</w:t>
            </w:r>
            <w:r>
              <w:rPr>
                <w:b/>
                <w:bCs/>
                <w:color w:val="auto"/>
              </w:rPr>
              <w:t>规划相符性分析</w:t>
            </w:r>
          </w:p>
          <w:p w14:paraId="6BEAC3B1">
            <w:pPr>
              <w:pStyle w:val="47"/>
              <w:ind w:firstLine="480"/>
              <w:rPr>
                <w:rFonts w:eastAsiaTheme="minorEastAsia"/>
                <w:color w:val="auto"/>
              </w:rPr>
            </w:pPr>
            <w:r>
              <w:rPr>
                <w:rFonts w:hint="eastAsia" w:eastAsiaTheme="minorEastAsia"/>
                <w:color w:val="auto"/>
              </w:rPr>
              <w:t>泗阳县新袁镇工业园区规划范围为东至规划白三路，西至规划经一路，南至纬六路，北至众裴线北入口。总计面积约3.6245平方公里（约5437亩）。园区定位产业为化纤织造、机械加工、食品饮料（不含发酵）及其他无污染和低污染项目。</w:t>
            </w:r>
          </w:p>
          <w:p w14:paraId="0C873828">
            <w:pPr>
              <w:pStyle w:val="47"/>
              <w:ind w:firstLine="482"/>
              <w:rPr>
                <w:rFonts w:eastAsiaTheme="minorEastAsia"/>
                <w:color w:val="auto"/>
              </w:rPr>
            </w:pPr>
            <w:r>
              <w:rPr>
                <w:b/>
                <w:bCs/>
                <w:color w:val="auto"/>
              </w:rPr>
              <w:t>选址分析</w:t>
            </w:r>
            <w:r>
              <w:rPr>
                <w:color w:val="auto"/>
              </w:rPr>
              <w:t>：</w:t>
            </w:r>
            <w:r>
              <w:rPr>
                <w:rFonts w:eastAsiaTheme="minorEastAsia"/>
                <w:color w:val="auto"/>
              </w:rPr>
              <w:t>本项目位于江苏省宿迁市泗阳县新袁镇广州路28号，对照</w:t>
            </w:r>
            <w:r>
              <w:rPr>
                <w:rFonts w:hint="eastAsia" w:eastAsiaTheme="minorEastAsia"/>
                <w:color w:val="auto"/>
              </w:rPr>
              <w:t>新袁镇工业园区</w:t>
            </w:r>
            <w:r>
              <w:rPr>
                <w:rFonts w:eastAsiaTheme="minorEastAsia"/>
                <w:color w:val="auto"/>
              </w:rPr>
              <w:t>土地利用规划图，项目选址位于工业用地</w:t>
            </w:r>
            <w:r>
              <w:rPr>
                <w:rFonts w:hint="eastAsia" w:eastAsiaTheme="minorEastAsia"/>
                <w:color w:val="auto"/>
                <w:lang w:val="en-US" w:eastAsia="zh-CN"/>
              </w:rPr>
              <w:t>和工业发展备用地</w:t>
            </w:r>
            <w:r>
              <w:rPr>
                <w:rFonts w:eastAsiaTheme="minorEastAsia"/>
                <w:color w:val="auto"/>
              </w:rPr>
              <w:t>范围内，故符合园区用地规划。项目在</w:t>
            </w:r>
            <w:r>
              <w:rPr>
                <w:rFonts w:hint="eastAsia" w:eastAsiaTheme="minorEastAsia"/>
                <w:color w:val="auto"/>
              </w:rPr>
              <w:t>新袁镇工业</w:t>
            </w:r>
            <w:r>
              <w:rPr>
                <w:rFonts w:eastAsiaTheme="minorEastAsia"/>
                <w:color w:val="auto"/>
              </w:rPr>
              <w:t>园区土地利用规划图中的位置见附图3。</w:t>
            </w:r>
          </w:p>
          <w:p w14:paraId="49785055">
            <w:pPr>
              <w:pStyle w:val="47"/>
              <w:ind w:firstLine="482"/>
              <w:rPr>
                <w:rFonts w:eastAsiaTheme="minorEastAsia"/>
                <w:color w:val="auto"/>
              </w:rPr>
            </w:pPr>
            <w:r>
              <w:rPr>
                <w:b/>
                <w:bCs/>
                <w:color w:val="auto"/>
              </w:rPr>
              <w:t>产业定位分析</w:t>
            </w:r>
            <w:r>
              <w:rPr>
                <w:color w:val="auto"/>
              </w:rPr>
              <w:t>：本项目</w:t>
            </w:r>
            <w:r>
              <w:rPr>
                <w:rFonts w:hint="eastAsia"/>
                <w:color w:val="auto"/>
              </w:rPr>
              <w:t>为化纤织造加工行业，生产</w:t>
            </w:r>
            <w:r>
              <w:rPr>
                <w:color w:val="auto"/>
              </w:rPr>
              <w:t>产品为</w:t>
            </w:r>
            <w:r>
              <w:rPr>
                <w:rFonts w:hint="eastAsia"/>
                <w:color w:val="auto"/>
              </w:rPr>
              <w:t>化纤面料</w:t>
            </w:r>
            <w:r>
              <w:rPr>
                <w:color w:val="auto"/>
              </w:rPr>
              <w:t>，</w:t>
            </w:r>
            <w:r>
              <w:rPr>
                <w:rFonts w:hint="eastAsia"/>
                <w:color w:val="auto"/>
              </w:rPr>
              <w:t>属于园区定位产业中的化纤织造项目</w:t>
            </w:r>
            <w:r>
              <w:rPr>
                <w:rFonts w:eastAsiaTheme="minorEastAsia"/>
                <w:color w:val="auto"/>
              </w:rPr>
              <w:t>。</w:t>
            </w:r>
          </w:p>
          <w:p w14:paraId="291A2D93">
            <w:pPr>
              <w:pStyle w:val="47"/>
              <w:ind w:firstLine="482"/>
              <w:rPr>
                <w:b/>
                <w:bCs/>
                <w:color w:val="auto"/>
              </w:rPr>
            </w:pPr>
            <w:r>
              <w:rPr>
                <w:b/>
                <w:bCs/>
                <w:color w:val="auto"/>
              </w:rPr>
              <w:t>2、与</w:t>
            </w:r>
            <w:r>
              <w:rPr>
                <w:rFonts w:eastAsiaTheme="minorEastAsia"/>
                <w:b/>
                <w:bCs/>
                <w:color w:val="auto"/>
              </w:rPr>
              <w:t>《</w:t>
            </w:r>
            <w:r>
              <w:rPr>
                <w:rFonts w:hint="eastAsia" w:eastAsiaTheme="minorEastAsia"/>
                <w:b/>
                <w:bCs/>
                <w:color w:val="auto"/>
              </w:rPr>
              <w:t>关于对泗阳县新袁镇工业园区开发建设规划环境影响报告书的审查意见</w:t>
            </w:r>
            <w:r>
              <w:rPr>
                <w:rFonts w:eastAsiaTheme="minorEastAsia"/>
                <w:b/>
                <w:bCs/>
                <w:color w:val="auto"/>
              </w:rPr>
              <w:t>》（宿环建管〔2023〕2011号）</w:t>
            </w:r>
            <w:r>
              <w:rPr>
                <w:b/>
                <w:bCs/>
                <w:color w:val="auto"/>
              </w:rPr>
              <w:t>相符性分析</w:t>
            </w:r>
          </w:p>
          <w:p w14:paraId="75192396">
            <w:pPr>
              <w:pStyle w:val="47"/>
              <w:ind w:firstLine="480"/>
              <w:rPr>
                <w:color w:val="auto"/>
              </w:rPr>
            </w:pPr>
            <w:r>
              <w:rPr>
                <w:color w:val="auto"/>
              </w:rPr>
              <w:t>本项目与</w:t>
            </w:r>
            <w:r>
              <w:rPr>
                <w:rFonts w:hint="eastAsia"/>
                <w:color w:val="auto"/>
              </w:rPr>
              <w:t>“</w:t>
            </w:r>
            <w:r>
              <w:rPr>
                <w:color w:val="auto"/>
              </w:rPr>
              <w:t>宿环建管〔2023〕2011号</w:t>
            </w:r>
            <w:r>
              <w:rPr>
                <w:rFonts w:hint="eastAsia"/>
                <w:color w:val="auto"/>
              </w:rPr>
              <w:t>”</w:t>
            </w:r>
            <w:r>
              <w:rPr>
                <w:color w:val="auto"/>
              </w:rPr>
              <w:t>相符性分析见</w:t>
            </w:r>
            <w:r>
              <w:rPr>
                <w:color w:val="auto"/>
              </w:rPr>
              <w:fldChar w:fldCharType="begin"/>
            </w:r>
            <w:r>
              <w:rPr>
                <w:color w:val="auto"/>
              </w:rPr>
              <w:instrText xml:space="preserve"> REF _Ref21995 \h </w:instrText>
            </w:r>
            <w:r>
              <w:rPr>
                <w:color w:val="auto"/>
              </w:rPr>
              <w:fldChar w:fldCharType="separate"/>
            </w:r>
            <w:r>
              <w:rPr>
                <w:color w:val="auto"/>
              </w:rPr>
              <w:t>表1- 1</w:t>
            </w:r>
            <w:r>
              <w:rPr>
                <w:color w:val="auto"/>
              </w:rPr>
              <w:fldChar w:fldCharType="end"/>
            </w:r>
            <w:r>
              <w:rPr>
                <w:color w:val="auto"/>
              </w:rPr>
              <w:t>。</w:t>
            </w:r>
          </w:p>
          <w:p w14:paraId="719FC397">
            <w:pPr>
              <w:pStyle w:val="7"/>
              <w:rPr>
                <w:color w:val="auto"/>
              </w:rPr>
            </w:pPr>
            <w:bookmarkStart w:id="4" w:name="_Ref21995"/>
            <w:r>
              <w:rPr>
                <w:color w:val="auto"/>
              </w:rPr>
              <w:t xml:space="preserve">表1- </w:t>
            </w:r>
            <w:r>
              <w:rPr>
                <w:color w:val="auto"/>
              </w:rPr>
              <w:fldChar w:fldCharType="begin"/>
            </w:r>
            <w:r>
              <w:rPr>
                <w:color w:val="auto"/>
              </w:rPr>
              <w:instrText xml:space="preserve"> SEQ 表1- \* ARABIC </w:instrText>
            </w:r>
            <w:r>
              <w:rPr>
                <w:color w:val="auto"/>
              </w:rPr>
              <w:fldChar w:fldCharType="separate"/>
            </w:r>
            <w:r>
              <w:rPr>
                <w:color w:val="auto"/>
              </w:rPr>
              <w:t>1</w:t>
            </w:r>
            <w:r>
              <w:rPr>
                <w:color w:val="auto"/>
              </w:rPr>
              <w:fldChar w:fldCharType="end"/>
            </w:r>
            <w:bookmarkEnd w:id="4"/>
            <w:r>
              <w:rPr>
                <w:color w:val="auto"/>
              </w:rPr>
              <w:t xml:space="preserve"> 项目与“宿环建管〔2023〕2011号”相符性分析</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8"/>
              <w:gridCol w:w="3113"/>
              <w:gridCol w:w="710"/>
            </w:tblGrid>
            <w:tr w14:paraId="4578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6" w:type="pct"/>
                  <w:vAlign w:val="center"/>
                </w:tcPr>
                <w:p w14:paraId="65041976">
                  <w:pPr>
                    <w:pStyle w:val="49"/>
                    <w:rPr>
                      <w:color w:val="auto"/>
                    </w:rPr>
                  </w:pPr>
                  <w:r>
                    <w:rPr>
                      <w:color w:val="auto"/>
                    </w:rPr>
                    <w:t>宿环建管〔2023〕2011号</w:t>
                  </w:r>
                  <w:r>
                    <w:rPr>
                      <w:rFonts w:hint="eastAsia"/>
                      <w:color w:val="auto"/>
                    </w:rPr>
                    <w:t>要求</w:t>
                  </w:r>
                </w:p>
              </w:tc>
              <w:tc>
                <w:tcPr>
                  <w:tcW w:w="1916" w:type="pct"/>
                  <w:vAlign w:val="center"/>
                </w:tcPr>
                <w:p w14:paraId="3ACFC3E3">
                  <w:pPr>
                    <w:pStyle w:val="49"/>
                    <w:rPr>
                      <w:color w:val="auto"/>
                    </w:rPr>
                  </w:pPr>
                  <w:r>
                    <w:rPr>
                      <w:color w:val="auto"/>
                    </w:rPr>
                    <w:t>本项目情况</w:t>
                  </w:r>
                </w:p>
              </w:tc>
              <w:tc>
                <w:tcPr>
                  <w:tcW w:w="437" w:type="pct"/>
                  <w:vAlign w:val="center"/>
                </w:tcPr>
                <w:p w14:paraId="64DDE73B">
                  <w:pPr>
                    <w:pStyle w:val="49"/>
                    <w:rPr>
                      <w:color w:val="auto"/>
                    </w:rPr>
                  </w:pPr>
                  <w:r>
                    <w:rPr>
                      <w:color w:val="auto"/>
                    </w:rPr>
                    <w:t>相符性</w:t>
                  </w:r>
                </w:p>
              </w:tc>
            </w:tr>
            <w:tr w14:paraId="24E6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6" w:type="pct"/>
                  <w:vAlign w:val="center"/>
                </w:tcPr>
                <w:p w14:paraId="2FD7230D">
                  <w:pPr>
                    <w:pStyle w:val="51"/>
                    <w:rPr>
                      <w:color w:val="auto"/>
                    </w:rPr>
                  </w:pPr>
                  <w:r>
                    <w:rPr>
                      <w:rFonts w:hint="eastAsia"/>
                      <w:color w:val="auto"/>
                    </w:rPr>
                    <w:t>提高园区的环境建设发展水平。园区的建设和环境管理须坚持环境效益、经济效益和社会效益相统一的原则，高起点规划、高标准建设、高水平管理，推行循环经济理念和清洁生产原则，</w:t>
                  </w:r>
                  <w:r>
                    <w:rPr>
                      <w:rFonts w:hint="eastAsia"/>
                      <w:b/>
                      <w:bCs/>
                      <w:color w:val="auto"/>
                    </w:rPr>
                    <w:t>鼓励与扶持企业选择清洁原辅材料和先进工艺</w:t>
                  </w:r>
                  <w:r>
                    <w:rPr>
                      <w:rFonts w:hint="eastAsia"/>
                      <w:color w:val="auto"/>
                    </w:rPr>
                    <w:t>，提倡与推行节水措施，高耗水行业用水定额应达水利部《关于印发钢铁等十八项工业用水定额的通知》领跑值要求，</w:t>
                  </w:r>
                  <w:r>
                    <w:rPr>
                      <w:rFonts w:hint="eastAsia"/>
                      <w:b/>
                      <w:bCs/>
                      <w:color w:val="auto"/>
                    </w:rPr>
                    <w:t>开展废弃物减量化资源化、循环利用。</w:t>
                  </w:r>
                </w:p>
              </w:tc>
              <w:tc>
                <w:tcPr>
                  <w:tcW w:w="1916" w:type="pct"/>
                  <w:vAlign w:val="center"/>
                </w:tcPr>
                <w:p w14:paraId="2023C988">
                  <w:pPr>
                    <w:pStyle w:val="51"/>
                    <w:rPr>
                      <w:color w:val="auto"/>
                    </w:rPr>
                  </w:pPr>
                  <w:r>
                    <w:rPr>
                      <w:rFonts w:hint="eastAsia"/>
                      <w:color w:val="auto"/>
                    </w:rPr>
                    <w:t>本项目生产产品为化纤面料，采用清洁的原辅材料、先进的生产工艺及高水平的管理方式进行生产。本项目生产废水循环利用，喷水织造废水经厂区污水处理站处理后全部回用于喷水织造、不外排；磨毛用水经捞渣后，循环利用、不外排。固废均无害化处置、零排放，满足园区环境建设发展要求。</w:t>
                  </w:r>
                </w:p>
              </w:tc>
              <w:tc>
                <w:tcPr>
                  <w:tcW w:w="437" w:type="pct"/>
                  <w:vAlign w:val="center"/>
                </w:tcPr>
                <w:p w14:paraId="38B1F643">
                  <w:pPr>
                    <w:pStyle w:val="51"/>
                    <w:rPr>
                      <w:color w:val="auto"/>
                    </w:rPr>
                  </w:pPr>
                  <w:r>
                    <w:rPr>
                      <w:color w:val="auto"/>
                    </w:rPr>
                    <w:t>符合</w:t>
                  </w:r>
                </w:p>
              </w:tc>
            </w:tr>
            <w:tr w14:paraId="15CC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6" w:type="pct"/>
                  <w:vAlign w:val="center"/>
                </w:tcPr>
                <w:p w14:paraId="441374C3">
                  <w:pPr>
                    <w:pStyle w:val="51"/>
                    <w:rPr>
                      <w:color w:val="auto"/>
                    </w:rPr>
                  </w:pPr>
                  <w:r>
                    <w:rPr>
                      <w:rFonts w:hint="eastAsia"/>
                      <w:color w:val="auto"/>
                    </w:rPr>
                    <w:t>为更好的应对气候变化，聚焦绿色低碳发展，以二氧化碳排放达峰目标和中和愿景为导向，推动绿色低碳可持续发展，助力产业、能源、运输结构优化升级，加快淘汰过剩产能。加快集中供热的进程，减少能源浪费产生的碳排放情况。</w:t>
                  </w:r>
                  <w:r>
                    <w:rPr>
                      <w:rFonts w:hint="eastAsia"/>
                      <w:b/>
                      <w:bCs/>
                      <w:color w:val="auto"/>
                    </w:rPr>
                    <w:t>加强清洁能源普及率。区内企业优先选用高效的废气治理设施</w:t>
                  </w:r>
                  <w:r>
                    <w:rPr>
                      <w:rFonts w:hint="eastAsia"/>
                      <w:color w:val="auto"/>
                    </w:rPr>
                    <w:t>，减少温室气体的排放，因地制宜建设屋面光伏太阳能风能项目以解决自身的能源问题，选用清洁原辅材料和先进工艺，降低能耗以及温室气体的产生；积极响应国家号召，落实碳排放相关政策。</w:t>
                  </w:r>
                </w:p>
              </w:tc>
              <w:tc>
                <w:tcPr>
                  <w:tcW w:w="1916" w:type="pct"/>
                  <w:vAlign w:val="center"/>
                </w:tcPr>
                <w:p w14:paraId="6B6CB5B0">
                  <w:pPr>
                    <w:pStyle w:val="51"/>
                    <w:rPr>
                      <w:color w:val="auto"/>
                    </w:rPr>
                  </w:pPr>
                  <w:r>
                    <w:rPr>
                      <w:rFonts w:hint="eastAsia"/>
                      <w:color w:val="auto"/>
                    </w:rPr>
                    <w:t>本项目生产使用电能清洁能源。1~5#、6~10#、11~15#、16</w:t>
                  </w:r>
                  <w:r>
                    <w:rPr>
                      <w:rFonts w:hint="eastAsia"/>
                      <w:color w:val="auto"/>
                      <w:lang w:val="en-US" w:eastAsia="zh-CN"/>
                    </w:rPr>
                    <w:t>~</w:t>
                  </w:r>
                  <w:r>
                    <w:rPr>
                      <w:rFonts w:hint="eastAsia"/>
                      <w:color w:val="auto"/>
                    </w:rPr>
                    <w:t>20#加弹机产生的有机废气NMHC经自带管道收集后分别由1#~4#高压静电处理后通过4根15m排气筒（DA001~DA004）达标排放，危废仓库废气NMHC经负压风管收集后由1#高压静电油烟净化器处理后通过1根15m排气筒（DA001）达标排放，高压静电油烟净化器去除效率可达90%以上。</w:t>
                  </w:r>
                </w:p>
              </w:tc>
              <w:tc>
                <w:tcPr>
                  <w:tcW w:w="437" w:type="pct"/>
                  <w:vAlign w:val="center"/>
                </w:tcPr>
                <w:p w14:paraId="52A432E5">
                  <w:pPr>
                    <w:pStyle w:val="51"/>
                    <w:rPr>
                      <w:color w:val="auto"/>
                    </w:rPr>
                  </w:pPr>
                  <w:r>
                    <w:rPr>
                      <w:color w:val="auto"/>
                    </w:rPr>
                    <w:t>符合</w:t>
                  </w:r>
                </w:p>
              </w:tc>
            </w:tr>
            <w:tr w14:paraId="3956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6" w:type="pct"/>
                  <w:vAlign w:val="center"/>
                </w:tcPr>
                <w:p w14:paraId="3A70FD9C">
                  <w:pPr>
                    <w:pStyle w:val="51"/>
                    <w:rPr>
                      <w:color w:val="auto"/>
                    </w:rPr>
                  </w:pPr>
                  <w:r>
                    <w:rPr>
                      <w:color w:val="auto"/>
                    </w:rPr>
                    <w:t>优化产业结构，严格入区项目准入门槛。园区建设应严格按照规划环评审查意见和《报告书》提出的生态环境准入清单</w:t>
                  </w:r>
                  <w:r>
                    <w:rPr>
                      <w:rFonts w:hint="eastAsia"/>
                      <w:color w:val="auto"/>
                    </w:rPr>
                    <w:t>（</w:t>
                  </w:r>
                  <w:r>
                    <w:rPr>
                      <w:color w:val="auto"/>
                    </w:rPr>
                    <w:t>见附件</w:t>
                  </w:r>
                  <w:r>
                    <w:rPr>
                      <w:rFonts w:hint="eastAsia"/>
                      <w:color w:val="auto"/>
                    </w:rPr>
                    <w:t>）</w:t>
                  </w:r>
                  <w:r>
                    <w:rPr>
                      <w:color w:val="auto"/>
                    </w:rPr>
                    <w:t>，稳妥、有序推进园区后续开发。</w:t>
                  </w:r>
                  <w:r>
                    <w:rPr>
                      <w:b/>
                      <w:bCs/>
                      <w:color w:val="auto"/>
                    </w:rPr>
                    <w:t>新建项目要满足泗阳县新袁镇工业园区生态环境准入清单要求，严格履行环境影响评价、“三同时”、排污许可证等相关制度。</w:t>
                  </w:r>
                </w:p>
              </w:tc>
              <w:tc>
                <w:tcPr>
                  <w:tcW w:w="1916" w:type="pct"/>
                  <w:vAlign w:val="center"/>
                </w:tcPr>
                <w:p w14:paraId="2DFF3ABD">
                  <w:pPr>
                    <w:pStyle w:val="51"/>
                    <w:rPr>
                      <w:color w:val="auto"/>
                    </w:rPr>
                  </w:pPr>
                  <w:r>
                    <w:rPr>
                      <w:color w:val="auto"/>
                    </w:rPr>
                    <w:t>本项目</w:t>
                  </w:r>
                  <w:r>
                    <w:rPr>
                      <w:rFonts w:hint="eastAsia"/>
                      <w:color w:val="auto"/>
                    </w:rPr>
                    <w:t>为化纤织造加工行业，生产</w:t>
                  </w:r>
                  <w:r>
                    <w:rPr>
                      <w:color w:val="auto"/>
                    </w:rPr>
                    <w:t>产品为</w:t>
                  </w:r>
                  <w:r>
                    <w:rPr>
                      <w:rFonts w:hint="eastAsia"/>
                      <w:color w:val="auto"/>
                    </w:rPr>
                    <w:t>化纤面料</w:t>
                  </w:r>
                  <w:r>
                    <w:rPr>
                      <w:color w:val="auto"/>
                    </w:rPr>
                    <w:t>，</w:t>
                  </w:r>
                  <w:r>
                    <w:rPr>
                      <w:rFonts w:hint="eastAsia"/>
                      <w:color w:val="auto"/>
                    </w:rPr>
                    <w:t>属于园区定位产业中的化纤织造项目，符合园区准入清单要求</w:t>
                  </w:r>
                  <w:r>
                    <w:rPr>
                      <w:color w:val="auto"/>
                    </w:rPr>
                    <w:t>。</w:t>
                  </w:r>
                  <w:r>
                    <w:rPr>
                      <w:rFonts w:hint="eastAsia"/>
                      <w:color w:val="auto"/>
                    </w:rPr>
                    <w:t>此外，本项目将严格履行环境影响评价、“三同时”、排污许可证等相关政策。</w:t>
                  </w:r>
                </w:p>
              </w:tc>
              <w:tc>
                <w:tcPr>
                  <w:tcW w:w="437" w:type="pct"/>
                  <w:vAlign w:val="center"/>
                </w:tcPr>
                <w:p w14:paraId="18DE5181">
                  <w:pPr>
                    <w:pStyle w:val="51"/>
                    <w:rPr>
                      <w:color w:val="auto"/>
                    </w:rPr>
                  </w:pPr>
                  <w:r>
                    <w:rPr>
                      <w:color w:val="auto"/>
                    </w:rPr>
                    <w:t>符合</w:t>
                  </w:r>
                </w:p>
              </w:tc>
            </w:tr>
            <w:tr w14:paraId="536E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6" w:type="pct"/>
                  <w:vAlign w:val="center"/>
                </w:tcPr>
                <w:p w14:paraId="04C850D5">
                  <w:pPr>
                    <w:pStyle w:val="51"/>
                    <w:rPr>
                      <w:color w:val="auto"/>
                    </w:rPr>
                  </w:pPr>
                  <w:r>
                    <w:rPr>
                      <w:color w:val="auto"/>
                    </w:rPr>
                    <w:t>进一步优化园区空间布局。《规划》应坚持绿色发展、协调发展理念，进一步优化空间布局，强化园区空间管控，避免产业发展对生态环境保护、人居环境安全等造成不良影响。园区规划工业用地涉及少量农田，土地性质未调整前，不得随意开发建设。加快公共设施、绿地等建设进度。</w:t>
                  </w:r>
                  <w:r>
                    <w:rPr>
                      <w:b/>
                      <w:bCs/>
                      <w:color w:val="auto"/>
                    </w:rPr>
                    <w:t>废气排放量较大或有恶臭、异味气体排放的项目另外设置空间防护距离并辅以绿化隔离带</w:t>
                  </w:r>
                  <w:r>
                    <w:rPr>
                      <w:color w:val="auto"/>
                    </w:rPr>
                    <w:t>，空间防护距离范围内禁止规划新建居民点、学校、医院、疗养院等环境敏感保护目标。</w:t>
                  </w:r>
                </w:p>
              </w:tc>
              <w:tc>
                <w:tcPr>
                  <w:tcW w:w="1916" w:type="pct"/>
                  <w:vAlign w:val="center"/>
                </w:tcPr>
                <w:p w14:paraId="0844D39C">
                  <w:pPr>
                    <w:pStyle w:val="51"/>
                    <w:rPr>
                      <w:color w:val="auto"/>
                    </w:rPr>
                  </w:pPr>
                  <w:r>
                    <w:rPr>
                      <w:rFonts w:hint="eastAsia"/>
                      <w:color w:val="auto"/>
                    </w:rPr>
                    <w:t>本项目无较大或有恶臭、异味气体排放。</w:t>
                  </w:r>
                </w:p>
              </w:tc>
              <w:tc>
                <w:tcPr>
                  <w:tcW w:w="437" w:type="pct"/>
                  <w:vAlign w:val="center"/>
                </w:tcPr>
                <w:p w14:paraId="2FF20AF2">
                  <w:pPr>
                    <w:pStyle w:val="51"/>
                    <w:rPr>
                      <w:color w:val="auto"/>
                    </w:rPr>
                  </w:pPr>
                  <w:r>
                    <w:rPr>
                      <w:color w:val="auto"/>
                    </w:rPr>
                    <w:t>符合</w:t>
                  </w:r>
                </w:p>
              </w:tc>
            </w:tr>
            <w:tr w14:paraId="6679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6" w:type="pct"/>
                  <w:vAlign w:val="center"/>
                </w:tcPr>
                <w:p w14:paraId="665C924C">
                  <w:pPr>
                    <w:pStyle w:val="51"/>
                    <w:rPr>
                      <w:color w:val="auto"/>
                    </w:rPr>
                  </w:pPr>
                  <w:r>
                    <w:rPr>
                      <w:b/>
                      <w:bCs/>
                      <w:color w:val="auto"/>
                    </w:rPr>
                    <w:t>加快园区环保基础设施建设。按“雨污分流、清污分流、中水回用”的要求规划建设园区给排水系统，完善区域管网建设，确保园区生产、生活污水可全部接入污水处理厂处理。</w:t>
                  </w:r>
                  <w:r>
                    <w:rPr>
                      <w:color w:val="auto"/>
                    </w:rPr>
                    <w:t>污水处理厂现状处理规模0.3万t</w:t>
                  </w:r>
                  <w:r>
                    <w:rPr>
                      <w:rFonts w:hint="eastAsia"/>
                      <w:color w:val="auto"/>
                    </w:rPr>
                    <w:t>/</w:t>
                  </w:r>
                  <w:r>
                    <w:rPr>
                      <w:color w:val="auto"/>
                    </w:rPr>
                    <w:t>d，远期总规模0.5万t</w:t>
                  </w:r>
                  <w:r>
                    <w:rPr>
                      <w:rFonts w:hint="eastAsia"/>
                      <w:color w:val="auto"/>
                    </w:rPr>
                    <w:t>/</w:t>
                  </w:r>
                  <w:r>
                    <w:rPr>
                      <w:color w:val="auto"/>
                    </w:rPr>
                    <w:t>d，</w:t>
                  </w:r>
                  <w:r>
                    <w:rPr>
                      <w:b/>
                      <w:bCs/>
                      <w:color w:val="auto"/>
                    </w:rPr>
                    <w:t>收水范围包括泗阳县新袁镇工业园区全部区域</w:t>
                  </w:r>
                  <w:r>
                    <w:rPr>
                      <w:color w:val="auto"/>
                    </w:rPr>
                    <w:t>。尾水达《城镇污水处理厂污染物排放标准》</w:t>
                  </w:r>
                  <w:r>
                    <w:rPr>
                      <w:rFonts w:hint="eastAsia"/>
                      <w:color w:val="auto"/>
                    </w:rPr>
                    <w:t>（</w:t>
                  </w:r>
                  <w:r>
                    <w:rPr>
                      <w:color w:val="auto"/>
                    </w:rPr>
                    <w:t>GB18918-2002</w:t>
                  </w:r>
                  <w:r>
                    <w:rPr>
                      <w:rFonts w:hint="eastAsia"/>
                      <w:color w:val="auto"/>
                    </w:rPr>
                    <w:t>）</w:t>
                  </w:r>
                  <w:r>
                    <w:rPr>
                      <w:color w:val="auto"/>
                    </w:rPr>
                    <w:t>表1级A标准排入黄码河。</w:t>
                  </w:r>
                </w:p>
              </w:tc>
              <w:tc>
                <w:tcPr>
                  <w:tcW w:w="1916" w:type="pct"/>
                  <w:vAlign w:val="center"/>
                </w:tcPr>
                <w:p w14:paraId="2AFF962C">
                  <w:pPr>
                    <w:pStyle w:val="51"/>
                    <w:rPr>
                      <w:color w:val="auto"/>
                    </w:rPr>
                  </w:pPr>
                  <w:r>
                    <w:rPr>
                      <w:rFonts w:hint="eastAsia"/>
                      <w:color w:val="auto"/>
                    </w:rPr>
                    <w:t>本项目按照“雨污分流、中水回用”的要求建设厂区排水系统。项目职工生活污水经厂区内化粪池预处理达标后接管至新袁镇污水处理厂集中处理；喷水织造废水经厂区污水处理站处理后全部回用于喷水织造、不外排，磨毛用水经捞渣后，循环利用、不外排。</w:t>
                  </w:r>
                </w:p>
              </w:tc>
              <w:tc>
                <w:tcPr>
                  <w:tcW w:w="437" w:type="pct"/>
                  <w:vAlign w:val="center"/>
                </w:tcPr>
                <w:p w14:paraId="182D91EB">
                  <w:pPr>
                    <w:pStyle w:val="51"/>
                    <w:rPr>
                      <w:color w:val="auto"/>
                    </w:rPr>
                  </w:pPr>
                  <w:r>
                    <w:rPr>
                      <w:color w:val="auto"/>
                    </w:rPr>
                    <w:t>符合</w:t>
                  </w:r>
                </w:p>
              </w:tc>
            </w:tr>
            <w:tr w14:paraId="3698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6" w:type="pct"/>
                  <w:vAlign w:val="center"/>
                </w:tcPr>
                <w:p w14:paraId="33C4419A">
                  <w:pPr>
                    <w:pStyle w:val="51"/>
                    <w:rPr>
                      <w:color w:val="auto"/>
                    </w:rPr>
                  </w:pPr>
                  <w:r>
                    <w:rPr>
                      <w:color w:val="auto"/>
                    </w:rPr>
                    <w:t>加强区域环境综合整治，改善环境质量。加强环境综合整治，改善区域环境，对大气、水环境进行严格保护。</w:t>
                  </w:r>
                  <w:r>
                    <w:rPr>
                      <w:b/>
                      <w:bCs/>
                      <w:color w:val="auto"/>
                    </w:rPr>
                    <w:t>“三同时”设施建设不到位、废水、废气不能稳定达标排放的企业立即实施整改</w:t>
                  </w:r>
                  <w:r>
                    <w:rPr>
                      <w:color w:val="auto"/>
                    </w:rPr>
                    <w:t>，确保在今后的开发建设中严格执行环保准入门槛。为满足区域大气、水环境质量改善的目标，本轮规划的实施必须协调区域大气、水环境综合整治同步进行，并应保证大气、纳污河流水质不进一步恶化。</w:t>
                  </w:r>
                </w:p>
              </w:tc>
              <w:tc>
                <w:tcPr>
                  <w:tcW w:w="1916" w:type="pct"/>
                  <w:vAlign w:val="center"/>
                </w:tcPr>
                <w:p w14:paraId="34D1E354">
                  <w:pPr>
                    <w:pStyle w:val="51"/>
                    <w:rPr>
                      <w:color w:val="auto"/>
                    </w:rPr>
                  </w:pPr>
                  <w:r>
                    <w:rPr>
                      <w:rFonts w:hint="eastAsia"/>
                      <w:color w:val="auto"/>
                    </w:rPr>
                    <w:t>本项目将严格执行“三同时”制度。</w:t>
                  </w:r>
                </w:p>
              </w:tc>
              <w:tc>
                <w:tcPr>
                  <w:tcW w:w="437" w:type="pct"/>
                  <w:vAlign w:val="center"/>
                </w:tcPr>
                <w:p w14:paraId="1A985D14">
                  <w:pPr>
                    <w:pStyle w:val="51"/>
                    <w:rPr>
                      <w:color w:val="auto"/>
                    </w:rPr>
                  </w:pPr>
                  <w:r>
                    <w:rPr>
                      <w:rFonts w:hint="eastAsia"/>
                      <w:color w:val="auto"/>
                    </w:rPr>
                    <w:t>符合</w:t>
                  </w:r>
                </w:p>
              </w:tc>
            </w:tr>
            <w:tr w14:paraId="5A32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6" w:type="pct"/>
                  <w:vAlign w:val="center"/>
                </w:tcPr>
                <w:p w14:paraId="4244346A">
                  <w:pPr>
                    <w:pStyle w:val="51"/>
                    <w:rPr>
                      <w:color w:val="auto"/>
                    </w:rPr>
                  </w:pPr>
                  <w:r>
                    <w:rPr>
                      <w:b/>
                      <w:bCs/>
                      <w:color w:val="auto"/>
                    </w:rPr>
                    <w:t>园区实行污染物排放总量控制。园区污染物排放总量指标纳入泗阳县总量指标内，符合本批复的限值要求，其中COD、氨氮、总磷、总氮、颗粒物</w:t>
                  </w:r>
                  <w:r>
                    <w:rPr>
                      <w:rFonts w:hint="eastAsia"/>
                      <w:b/>
                      <w:bCs/>
                      <w:color w:val="auto"/>
                    </w:rPr>
                    <w:t>、</w:t>
                  </w:r>
                  <w:r>
                    <w:rPr>
                      <w:b/>
                      <w:bCs/>
                      <w:color w:val="auto"/>
                    </w:rPr>
                    <w:t>SO</w:t>
                  </w:r>
                  <w:r>
                    <w:rPr>
                      <w:rFonts w:hint="eastAsia"/>
                      <w:b/>
                      <w:bCs/>
                      <w:color w:val="auto"/>
                      <w:vertAlign w:val="subscript"/>
                    </w:rPr>
                    <w:t>2</w:t>
                  </w:r>
                  <w:r>
                    <w:rPr>
                      <w:b/>
                      <w:bCs/>
                      <w:color w:val="auto"/>
                    </w:rPr>
                    <w:t>、NOx、VOCs等总量指标应满足区域总量控制及污染物削减计划要求</w:t>
                  </w:r>
                  <w:r>
                    <w:rPr>
                      <w:rFonts w:hint="eastAsia"/>
                      <w:color w:val="auto"/>
                    </w:rPr>
                    <w:t>；</w:t>
                  </w:r>
                  <w:r>
                    <w:rPr>
                      <w:color w:val="auto"/>
                    </w:rPr>
                    <w:t>其它污染物排放总量控制指标可根据环境要求和入区企业实际情况由负责建设项目审批的环保部门另行核批。</w:t>
                  </w:r>
                </w:p>
              </w:tc>
              <w:tc>
                <w:tcPr>
                  <w:tcW w:w="1916" w:type="pct"/>
                  <w:vAlign w:val="center"/>
                </w:tcPr>
                <w:p w14:paraId="0C19ABA4">
                  <w:pPr>
                    <w:pStyle w:val="51"/>
                    <w:rPr>
                      <w:color w:val="auto"/>
                    </w:rPr>
                  </w:pPr>
                  <w:r>
                    <w:rPr>
                      <w:rFonts w:hint="eastAsia"/>
                      <w:color w:val="auto"/>
                    </w:rPr>
                    <w:t>本项目NMHC有组织排放量为0.776t/a，按要求申请污染物总量后再排放，</w:t>
                  </w:r>
                  <w:r>
                    <w:rPr>
                      <w:color w:val="auto"/>
                    </w:rPr>
                    <w:t>在</w:t>
                  </w:r>
                  <w:r>
                    <w:rPr>
                      <w:rFonts w:hint="eastAsia"/>
                      <w:color w:val="auto"/>
                    </w:rPr>
                    <w:t>泗阳</w:t>
                  </w:r>
                  <w:r>
                    <w:rPr>
                      <w:color w:val="auto"/>
                    </w:rPr>
                    <w:t>县区域内平衡。</w:t>
                  </w:r>
                </w:p>
              </w:tc>
              <w:tc>
                <w:tcPr>
                  <w:tcW w:w="437" w:type="pct"/>
                  <w:vAlign w:val="center"/>
                </w:tcPr>
                <w:p w14:paraId="23DBDDC9">
                  <w:pPr>
                    <w:pStyle w:val="51"/>
                    <w:rPr>
                      <w:color w:val="auto"/>
                    </w:rPr>
                  </w:pPr>
                  <w:r>
                    <w:rPr>
                      <w:rFonts w:hint="eastAsia"/>
                      <w:color w:val="auto"/>
                    </w:rPr>
                    <w:t>符合</w:t>
                  </w:r>
                </w:p>
              </w:tc>
            </w:tr>
          </w:tbl>
          <w:p w14:paraId="339EED82">
            <w:pPr>
              <w:pStyle w:val="47"/>
              <w:ind w:firstLine="480"/>
              <w:rPr>
                <w:color w:val="auto"/>
              </w:rPr>
            </w:pPr>
            <w:r>
              <w:rPr>
                <w:color w:val="auto"/>
              </w:rPr>
              <w:t>根据</w:t>
            </w:r>
            <w:r>
              <w:rPr>
                <w:color w:val="auto"/>
              </w:rPr>
              <w:fldChar w:fldCharType="begin"/>
            </w:r>
            <w:r>
              <w:rPr>
                <w:color w:val="auto"/>
              </w:rPr>
              <w:instrText xml:space="preserve"> REF _Ref21995 \h </w:instrText>
            </w:r>
            <w:r>
              <w:rPr>
                <w:color w:val="auto"/>
              </w:rPr>
              <w:fldChar w:fldCharType="separate"/>
            </w:r>
            <w:r>
              <w:rPr>
                <w:color w:val="auto"/>
              </w:rPr>
              <w:t>表1- 1</w:t>
            </w:r>
            <w:r>
              <w:rPr>
                <w:color w:val="auto"/>
              </w:rPr>
              <w:fldChar w:fldCharType="end"/>
            </w:r>
            <w:r>
              <w:rPr>
                <w:color w:val="auto"/>
              </w:rPr>
              <w:t>分析可知，本项目与《</w:t>
            </w:r>
            <w:r>
              <w:rPr>
                <w:rFonts w:hint="eastAsia"/>
                <w:color w:val="auto"/>
              </w:rPr>
              <w:t>关于对泗阳县新袁镇工业园区开发建设规划环境影响报告书的审查意见</w:t>
            </w:r>
            <w:r>
              <w:rPr>
                <w:color w:val="auto"/>
              </w:rPr>
              <w:t>》（宿环建管〔2023〕2011号）的相关要求相符。</w:t>
            </w:r>
          </w:p>
        </w:tc>
      </w:tr>
      <w:tr w14:paraId="74D93A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tcBorders>
              <w:left w:val="single" w:color="auto" w:sz="4" w:space="0"/>
              <w:bottom w:val="single" w:color="auto" w:sz="4" w:space="0"/>
            </w:tcBorders>
            <w:vAlign w:val="center"/>
          </w:tcPr>
          <w:p w14:paraId="5FDB7F8B">
            <w:pPr>
              <w:jc w:val="center"/>
              <w:rPr>
                <w:rFonts w:eastAsiaTheme="minorEastAsia"/>
                <w:color w:val="auto"/>
              </w:rPr>
            </w:pPr>
            <w:r>
              <w:rPr>
                <w:color w:val="auto"/>
              </w:rPr>
              <w:t>其他符合性分析</w:t>
            </w:r>
          </w:p>
        </w:tc>
        <w:tc>
          <w:tcPr>
            <w:tcW w:w="8347" w:type="dxa"/>
            <w:gridSpan w:val="3"/>
            <w:tcBorders>
              <w:bottom w:val="single" w:color="auto" w:sz="4" w:space="0"/>
              <w:right w:val="single" w:color="auto" w:sz="4" w:space="0"/>
            </w:tcBorders>
            <w:vAlign w:val="center"/>
          </w:tcPr>
          <w:p w14:paraId="264B8D83">
            <w:pPr>
              <w:pStyle w:val="47"/>
              <w:ind w:firstLine="482"/>
              <w:rPr>
                <w:b/>
                <w:bCs/>
                <w:color w:val="auto"/>
              </w:rPr>
            </w:pPr>
            <w:r>
              <w:rPr>
                <w:b/>
                <w:bCs/>
                <w:color w:val="auto"/>
              </w:rPr>
              <w:t>1、产业政策相符性分析</w:t>
            </w:r>
          </w:p>
          <w:p w14:paraId="427FE7FC">
            <w:pPr>
              <w:pStyle w:val="47"/>
              <w:ind w:firstLine="480"/>
              <w:rPr>
                <w:color w:val="auto"/>
                <w:szCs w:val="24"/>
              </w:rPr>
            </w:pPr>
            <w:r>
              <w:rPr>
                <w:rFonts w:hint="eastAsia"/>
                <w:color w:val="auto"/>
              </w:rPr>
              <w:t>本项目为化纤面料生产项目，属于C1751化纤织造加工。对照《产业结构调整指导目录（2024年本）》，本项目喷水织机</w:t>
            </w:r>
            <w:r>
              <w:rPr>
                <w:color w:val="auto"/>
              </w:rPr>
              <w:t>入纬率</w:t>
            </w:r>
            <w:r>
              <w:rPr>
                <w:rFonts w:hint="eastAsia"/>
                <w:color w:val="auto"/>
              </w:rPr>
              <w:t>为1140~2040m/min，不</w:t>
            </w:r>
            <w:r>
              <w:rPr>
                <w:color w:val="auto"/>
              </w:rPr>
              <w:t>小于900</w:t>
            </w:r>
            <w:r>
              <w:rPr>
                <w:rFonts w:hint="eastAsia"/>
                <w:color w:val="auto"/>
              </w:rPr>
              <w:t>m/min，则本项目不属于鼓励、限制和淘汰类项目。此外，本项目已获得宿迁泗阳县数据局备案，备案号为</w:t>
            </w:r>
            <w:r>
              <w:rPr>
                <w:rFonts w:eastAsiaTheme="minorEastAsia"/>
                <w:color w:val="auto"/>
              </w:rPr>
              <w:t>泗阳数据备〔2025〕</w:t>
            </w:r>
            <w:r>
              <w:rPr>
                <w:rFonts w:hint="eastAsia" w:eastAsiaTheme="minorEastAsia"/>
                <w:color w:val="auto"/>
              </w:rPr>
              <w:t>110</w:t>
            </w:r>
            <w:r>
              <w:rPr>
                <w:rFonts w:eastAsiaTheme="minorEastAsia"/>
                <w:color w:val="auto"/>
              </w:rPr>
              <w:t>号</w:t>
            </w:r>
            <w:r>
              <w:rPr>
                <w:rFonts w:hint="eastAsia" w:eastAsiaTheme="minorEastAsia"/>
                <w:color w:val="auto"/>
              </w:rPr>
              <w:t>。</w:t>
            </w:r>
            <w:r>
              <w:rPr>
                <w:color w:val="auto"/>
                <w:szCs w:val="24"/>
              </w:rPr>
              <w:t>因此本项目的建设符合国家及地方的产业政策。</w:t>
            </w:r>
          </w:p>
          <w:p w14:paraId="1A13686C">
            <w:pPr>
              <w:pStyle w:val="47"/>
              <w:ind w:firstLine="482"/>
              <w:rPr>
                <w:b/>
                <w:bCs/>
                <w:color w:val="auto"/>
              </w:rPr>
            </w:pPr>
            <w:r>
              <w:rPr>
                <w:b/>
                <w:bCs/>
                <w:color w:val="auto"/>
              </w:rPr>
              <w:t>2、“三线一单”相符性分析</w:t>
            </w:r>
          </w:p>
          <w:p w14:paraId="7F476D74">
            <w:pPr>
              <w:pStyle w:val="47"/>
              <w:ind w:firstLine="482"/>
              <w:rPr>
                <w:b/>
                <w:bCs/>
                <w:color w:val="auto"/>
              </w:rPr>
            </w:pPr>
            <w:r>
              <w:rPr>
                <w:b/>
                <w:bCs/>
                <w:color w:val="auto"/>
              </w:rPr>
              <w:t>（1）与生态红线相关要求的符合性分析</w:t>
            </w:r>
          </w:p>
          <w:p w14:paraId="2F2D8759">
            <w:pPr>
              <w:pStyle w:val="47"/>
              <w:ind w:firstLine="480"/>
              <w:rPr>
                <w:color w:val="auto"/>
              </w:rPr>
            </w:pPr>
            <w:r>
              <w:rPr>
                <w:color w:val="auto"/>
              </w:rPr>
              <w:t>根据《省政府关于印发江苏省国家级生态保护红线规划的通知》（苏政发〔2018〕74号），距离本项目最近的生态空间管控区域为泗阳黄河故道省级湿地公园，位于项目</w:t>
            </w:r>
            <w:r>
              <w:rPr>
                <w:rFonts w:hint="eastAsia"/>
                <w:color w:val="auto"/>
              </w:rPr>
              <w:t>东北</w:t>
            </w:r>
            <w:r>
              <w:rPr>
                <w:color w:val="auto"/>
              </w:rPr>
              <w:t>侧约</w:t>
            </w:r>
            <w:r>
              <w:rPr>
                <w:rFonts w:hint="eastAsia"/>
                <w:color w:val="auto"/>
              </w:rPr>
              <w:t>1.6</w:t>
            </w:r>
            <w:r>
              <w:rPr>
                <w:color w:val="auto"/>
              </w:rPr>
              <w:t>m处，见</w:t>
            </w:r>
            <w:r>
              <w:rPr>
                <w:color w:val="auto"/>
              </w:rPr>
              <w:fldChar w:fldCharType="begin"/>
            </w:r>
            <w:r>
              <w:rPr>
                <w:color w:val="auto"/>
              </w:rPr>
              <w:instrText xml:space="preserve"> REF _Ref631 \h </w:instrText>
            </w:r>
            <w:r>
              <w:rPr>
                <w:color w:val="auto"/>
              </w:rPr>
              <w:fldChar w:fldCharType="separate"/>
            </w:r>
            <w:r>
              <w:rPr>
                <w:color w:val="auto"/>
              </w:rPr>
              <w:t>表1- 2</w:t>
            </w:r>
            <w:r>
              <w:rPr>
                <w:color w:val="auto"/>
              </w:rPr>
              <w:fldChar w:fldCharType="end"/>
            </w:r>
            <w:r>
              <w:rPr>
                <w:color w:val="auto"/>
              </w:rPr>
              <w:t>。</w:t>
            </w:r>
          </w:p>
          <w:p w14:paraId="589DD4DA">
            <w:pPr>
              <w:pStyle w:val="7"/>
              <w:rPr>
                <w:color w:val="auto"/>
              </w:rPr>
            </w:pPr>
            <w:bookmarkStart w:id="5" w:name="_Ref631"/>
            <w:r>
              <w:rPr>
                <w:color w:val="auto"/>
              </w:rPr>
              <w:t xml:space="preserve">表1- </w:t>
            </w:r>
            <w:r>
              <w:rPr>
                <w:color w:val="auto"/>
              </w:rPr>
              <w:fldChar w:fldCharType="begin"/>
            </w:r>
            <w:r>
              <w:rPr>
                <w:color w:val="auto"/>
              </w:rPr>
              <w:instrText xml:space="preserve"> SEQ 表1- \* ARABIC </w:instrText>
            </w:r>
            <w:r>
              <w:rPr>
                <w:color w:val="auto"/>
              </w:rPr>
              <w:fldChar w:fldCharType="separate"/>
            </w:r>
            <w:r>
              <w:rPr>
                <w:color w:val="auto"/>
              </w:rPr>
              <w:t>2</w:t>
            </w:r>
            <w:r>
              <w:rPr>
                <w:color w:val="auto"/>
              </w:rPr>
              <w:fldChar w:fldCharType="end"/>
            </w:r>
            <w:bookmarkEnd w:id="5"/>
            <w:r>
              <w:rPr>
                <w:color w:val="auto"/>
              </w:rPr>
              <w:t xml:space="preserve"> 距离项目最近的国家级生态保护红线管控区域</w:t>
            </w:r>
          </w:p>
          <w:tbl>
            <w:tblPr>
              <w:tblStyle w:val="16"/>
              <w:tblW w:w="8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171"/>
              <w:gridCol w:w="3364"/>
              <w:gridCol w:w="1230"/>
              <w:gridCol w:w="949"/>
            </w:tblGrid>
            <w:tr w14:paraId="3092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11" w:type="pct"/>
                  <w:vAlign w:val="center"/>
                </w:tcPr>
                <w:p w14:paraId="13FA68B4">
                  <w:pPr>
                    <w:pStyle w:val="49"/>
                    <w:rPr>
                      <w:color w:val="auto"/>
                    </w:rPr>
                  </w:pPr>
                  <w:r>
                    <w:rPr>
                      <w:color w:val="auto"/>
                    </w:rPr>
                    <w:t>生态保护红线名称</w:t>
                  </w:r>
                </w:p>
              </w:tc>
              <w:tc>
                <w:tcPr>
                  <w:tcW w:w="712" w:type="pct"/>
                  <w:vAlign w:val="center"/>
                </w:tcPr>
                <w:p w14:paraId="5C8576EC">
                  <w:pPr>
                    <w:pStyle w:val="49"/>
                    <w:rPr>
                      <w:color w:val="auto"/>
                    </w:rPr>
                  </w:pPr>
                  <w:r>
                    <w:rPr>
                      <w:color w:val="auto"/>
                    </w:rPr>
                    <w:t>类型</w:t>
                  </w:r>
                </w:p>
              </w:tc>
              <w:tc>
                <w:tcPr>
                  <w:tcW w:w="2047" w:type="pct"/>
                  <w:vAlign w:val="center"/>
                </w:tcPr>
                <w:p w14:paraId="5C50269D">
                  <w:pPr>
                    <w:pStyle w:val="49"/>
                    <w:rPr>
                      <w:color w:val="auto"/>
                    </w:rPr>
                  </w:pPr>
                  <w:r>
                    <w:rPr>
                      <w:color w:val="auto"/>
                    </w:rPr>
                    <w:t>地理位置</w:t>
                  </w:r>
                </w:p>
              </w:tc>
              <w:tc>
                <w:tcPr>
                  <w:tcW w:w="749" w:type="pct"/>
                  <w:vAlign w:val="center"/>
                </w:tcPr>
                <w:p w14:paraId="3EFB8AE2">
                  <w:pPr>
                    <w:pStyle w:val="49"/>
                    <w:rPr>
                      <w:color w:val="auto"/>
                    </w:rPr>
                  </w:pPr>
                  <w:r>
                    <w:rPr>
                      <w:color w:val="auto"/>
                    </w:rPr>
                    <w:t>区域面积（km</w:t>
                  </w:r>
                  <w:r>
                    <w:rPr>
                      <w:color w:val="auto"/>
                      <w:vertAlign w:val="superscript"/>
                    </w:rPr>
                    <w:t>2</w:t>
                  </w:r>
                  <w:r>
                    <w:rPr>
                      <w:color w:val="auto"/>
                    </w:rPr>
                    <w:t>）</w:t>
                  </w:r>
                </w:p>
              </w:tc>
              <w:tc>
                <w:tcPr>
                  <w:tcW w:w="578" w:type="pct"/>
                  <w:vAlign w:val="center"/>
                </w:tcPr>
                <w:p w14:paraId="08798EBD">
                  <w:pPr>
                    <w:pStyle w:val="49"/>
                    <w:rPr>
                      <w:color w:val="auto"/>
                    </w:rPr>
                  </w:pPr>
                  <w:r>
                    <w:rPr>
                      <w:color w:val="auto"/>
                    </w:rPr>
                    <w:t>最近方位距离</w:t>
                  </w:r>
                </w:p>
              </w:tc>
            </w:tr>
            <w:tr w14:paraId="1CF0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911" w:type="pct"/>
                  <w:vAlign w:val="center"/>
                </w:tcPr>
                <w:p w14:paraId="57F75723">
                  <w:pPr>
                    <w:pStyle w:val="51"/>
                    <w:rPr>
                      <w:color w:val="auto"/>
                    </w:rPr>
                  </w:pPr>
                  <w:r>
                    <w:rPr>
                      <w:color w:val="auto"/>
                    </w:rPr>
                    <w:t>泗阳黄河故道省级湿地公园</w:t>
                  </w:r>
                </w:p>
              </w:tc>
              <w:tc>
                <w:tcPr>
                  <w:tcW w:w="712" w:type="pct"/>
                  <w:vAlign w:val="center"/>
                </w:tcPr>
                <w:p w14:paraId="0615F5CA">
                  <w:pPr>
                    <w:pStyle w:val="51"/>
                    <w:rPr>
                      <w:b/>
                      <w:bCs/>
                      <w:color w:val="auto"/>
                    </w:rPr>
                  </w:pPr>
                  <w:r>
                    <w:rPr>
                      <w:color w:val="auto"/>
                    </w:rPr>
                    <w:t>湿地生态系统保护</w:t>
                  </w:r>
                </w:p>
              </w:tc>
              <w:tc>
                <w:tcPr>
                  <w:tcW w:w="2047" w:type="pct"/>
                  <w:vAlign w:val="center"/>
                </w:tcPr>
                <w:p w14:paraId="0DA5E804">
                  <w:pPr>
                    <w:pStyle w:val="51"/>
                    <w:rPr>
                      <w:color w:val="auto"/>
                    </w:rPr>
                  </w:pPr>
                  <w:r>
                    <w:rPr>
                      <w:color w:val="auto"/>
                    </w:rPr>
                    <w:t>泗阳黄河故道省级湿地公园总体规划中确定的范围（包括湿地保育区和恢复重建区等）</w:t>
                  </w:r>
                </w:p>
              </w:tc>
              <w:tc>
                <w:tcPr>
                  <w:tcW w:w="749" w:type="pct"/>
                  <w:vAlign w:val="center"/>
                </w:tcPr>
                <w:p w14:paraId="78D5DDEF">
                  <w:pPr>
                    <w:pStyle w:val="51"/>
                    <w:rPr>
                      <w:color w:val="auto"/>
                    </w:rPr>
                  </w:pPr>
                  <w:r>
                    <w:rPr>
                      <w:color w:val="auto"/>
                    </w:rPr>
                    <w:t>3.29</w:t>
                  </w:r>
                </w:p>
              </w:tc>
              <w:tc>
                <w:tcPr>
                  <w:tcW w:w="578" w:type="pct"/>
                  <w:vAlign w:val="center"/>
                </w:tcPr>
                <w:p w14:paraId="23C8D606">
                  <w:pPr>
                    <w:pStyle w:val="51"/>
                    <w:rPr>
                      <w:color w:val="auto"/>
                    </w:rPr>
                  </w:pPr>
                  <w:r>
                    <w:rPr>
                      <w:rFonts w:hint="eastAsia"/>
                      <w:color w:val="auto"/>
                    </w:rPr>
                    <w:t>EN</w:t>
                  </w:r>
                  <w:r>
                    <w:rPr>
                      <w:color w:val="auto"/>
                    </w:rPr>
                    <w:t>，</w:t>
                  </w:r>
                </w:p>
                <w:p w14:paraId="360AF581">
                  <w:pPr>
                    <w:pStyle w:val="51"/>
                    <w:rPr>
                      <w:color w:val="auto"/>
                    </w:rPr>
                  </w:pPr>
                  <w:r>
                    <w:rPr>
                      <w:rFonts w:hint="eastAsia"/>
                      <w:color w:val="auto"/>
                    </w:rPr>
                    <w:t>1.6</w:t>
                  </w:r>
                  <w:r>
                    <w:rPr>
                      <w:color w:val="auto"/>
                    </w:rPr>
                    <w:t>km</w:t>
                  </w:r>
                </w:p>
              </w:tc>
            </w:tr>
          </w:tbl>
          <w:p w14:paraId="1886D566">
            <w:pPr>
              <w:pStyle w:val="47"/>
              <w:ind w:firstLine="480"/>
              <w:rPr>
                <w:color w:val="auto"/>
              </w:rPr>
            </w:pPr>
            <w:r>
              <w:rPr>
                <w:color w:val="auto"/>
              </w:rPr>
              <w:t>根据《省政府关于印发江苏省生态空间管控区域规划的通知》（苏政发〔2020〕1号），距离本项目最近的生态空间管控区域为废黄河（泗阳县）重要湿地位于项目</w:t>
            </w:r>
            <w:r>
              <w:rPr>
                <w:rFonts w:hint="eastAsia"/>
                <w:color w:val="auto"/>
              </w:rPr>
              <w:t>东北侧</w:t>
            </w:r>
            <w:r>
              <w:rPr>
                <w:color w:val="auto"/>
              </w:rPr>
              <w:t>约为</w:t>
            </w:r>
            <w:r>
              <w:rPr>
                <w:rFonts w:hint="eastAsia"/>
                <w:color w:val="auto"/>
              </w:rPr>
              <w:t>1.5</w:t>
            </w:r>
            <w:r>
              <w:rPr>
                <w:color w:val="auto"/>
              </w:rPr>
              <w:t>km处</w:t>
            </w:r>
            <w:r>
              <w:rPr>
                <w:rFonts w:hint="eastAsia"/>
                <w:color w:val="auto"/>
                <w:lang w:eastAsia="zh-CN"/>
              </w:rPr>
              <w:t>，</w:t>
            </w:r>
            <w:r>
              <w:rPr>
                <w:rFonts w:hint="eastAsia"/>
                <w:color w:val="auto"/>
                <w:lang w:val="en-US" w:eastAsia="zh-CN"/>
              </w:rPr>
              <w:t>京杭大运河（淮阴区）清水通道维护区位于本项目东北侧3.9km处，</w:t>
            </w:r>
            <w:r>
              <w:rPr>
                <w:color w:val="auto"/>
              </w:rPr>
              <w:t>见</w:t>
            </w:r>
            <w:r>
              <w:rPr>
                <w:color w:val="auto"/>
              </w:rPr>
              <w:fldChar w:fldCharType="begin"/>
            </w:r>
            <w:r>
              <w:rPr>
                <w:color w:val="auto"/>
              </w:rPr>
              <w:instrText xml:space="preserve"> REF _Ref752 \h </w:instrText>
            </w:r>
            <w:r>
              <w:rPr>
                <w:color w:val="auto"/>
              </w:rPr>
              <w:fldChar w:fldCharType="separate"/>
            </w:r>
            <w:r>
              <w:rPr>
                <w:color w:val="auto"/>
              </w:rPr>
              <w:t>表1- 3</w:t>
            </w:r>
            <w:r>
              <w:rPr>
                <w:color w:val="auto"/>
              </w:rPr>
              <w:fldChar w:fldCharType="end"/>
            </w:r>
            <w:r>
              <w:rPr>
                <w:color w:val="auto"/>
              </w:rPr>
              <w:t>。</w:t>
            </w:r>
          </w:p>
          <w:p w14:paraId="29D51C5D">
            <w:pPr>
              <w:pStyle w:val="7"/>
              <w:rPr>
                <w:color w:val="auto"/>
              </w:rPr>
            </w:pPr>
            <w:bookmarkStart w:id="6" w:name="_Ref752"/>
            <w:r>
              <w:rPr>
                <w:color w:val="auto"/>
              </w:rPr>
              <w:t xml:space="preserve">表1- </w:t>
            </w:r>
            <w:r>
              <w:rPr>
                <w:color w:val="auto"/>
              </w:rPr>
              <w:fldChar w:fldCharType="begin"/>
            </w:r>
            <w:r>
              <w:rPr>
                <w:color w:val="auto"/>
              </w:rPr>
              <w:instrText xml:space="preserve"> SEQ 表1- \* ARABIC </w:instrText>
            </w:r>
            <w:r>
              <w:rPr>
                <w:color w:val="auto"/>
              </w:rPr>
              <w:fldChar w:fldCharType="separate"/>
            </w:r>
            <w:r>
              <w:rPr>
                <w:color w:val="auto"/>
              </w:rPr>
              <w:t>3</w:t>
            </w:r>
            <w:r>
              <w:rPr>
                <w:color w:val="auto"/>
              </w:rPr>
              <w:fldChar w:fldCharType="end"/>
            </w:r>
            <w:bookmarkEnd w:id="6"/>
            <w:r>
              <w:rPr>
                <w:color w:val="auto"/>
              </w:rPr>
              <w:t xml:space="preserve"> 距离项目最近的省级生态保护红线空间管控区域</w:t>
            </w:r>
          </w:p>
          <w:tbl>
            <w:tblPr>
              <w:tblStyle w:val="16"/>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104"/>
              <w:gridCol w:w="3707"/>
              <w:gridCol w:w="1232"/>
              <w:gridCol w:w="948"/>
            </w:tblGrid>
            <w:tr w14:paraId="5B05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pct"/>
                  <w:vAlign w:val="center"/>
                </w:tcPr>
                <w:p w14:paraId="003F665E">
                  <w:pPr>
                    <w:pStyle w:val="49"/>
                    <w:rPr>
                      <w:color w:val="auto"/>
                    </w:rPr>
                  </w:pPr>
                  <w:r>
                    <w:rPr>
                      <w:color w:val="auto"/>
                    </w:rPr>
                    <w:t>生态保护红线名称</w:t>
                  </w:r>
                </w:p>
              </w:tc>
              <w:tc>
                <w:tcPr>
                  <w:tcW w:w="672" w:type="pct"/>
                  <w:vAlign w:val="center"/>
                </w:tcPr>
                <w:p w14:paraId="14A46D9E">
                  <w:pPr>
                    <w:pStyle w:val="49"/>
                    <w:rPr>
                      <w:color w:val="auto"/>
                    </w:rPr>
                  </w:pPr>
                  <w:r>
                    <w:rPr>
                      <w:color w:val="auto"/>
                    </w:rPr>
                    <w:t>类型</w:t>
                  </w:r>
                </w:p>
              </w:tc>
              <w:tc>
                <w:tcPr>
                  <w:tcW w:w="2257" w:type="pct"/>
                  <w:vAlign w:val="center"/>
                </w:tcPr>
                <w:p w14:paraId="12D115A2">
                  <w:pPr>
                    <w:pStyle w:val="49"/>
                    <w:rPr>
                      <w:color w:val="auto"/>
                    </w:rPr>
                  </w:pPr>
                  <w:r>
                    <w:rPr>
                      <w:color w:val="auto"/>
                    </w:rPr>
                    <w:t>地理位置</w:t>
                  </w:r>
                </w:p>
              </w:tc>
              <w:tc>
                <w:tcPr>
                  <w:tcW w:w="750" w:type="pct"/>
                  <w:vAlign w:val="center"/>
                </w:tcPr>
                <w:p w14:paraId="0DB9808D">
                  <w:pPr>
                    <w:pStyle w:val="49"/>
                    <w:rPr>
                      <w:color w:val="auto"/>
                    </w:rPr>
                  </w:pPr>
                  <w:r>
                    <w:rPr>
                      <w:color w:val="auto"/>
                    </w:rPr>
                    <w:t>区域面积（km</w:t>
                  </w:r>
                  <w:r>
                    <w:rPr>
                      <w:color w:val="auto"/>
                      <w:vertAlign w:val="superscript"/>
                    </w:rPr>
                    <w:t>2</w:t>
                  </w:r>
                  <w:r>
                    <w:rPr>
                      <w:color w:val="auto"/>
                    </w:rPr>
                    <w:t>）</w:t>
                  </w:r>
                </w:p>
              </w:tc>
              <w:tc>
                <w:tcPr>
                  <w:tcW w:w="577" w:type="pct"/>
                  <w:vAlign w:val="center"/>
                </w:tcPr>
                <w:p w14:paraId="4F4357ED">
                  <w:pPr>
                    <w:pStyle w:val="49"/>
                    <w:rPr>
                      <w:color w:val="auto"/>
                    </w:rPr>
                  </w:pPr>
                  <w:r>
                    <w:rPr>
                      <w:color w:val="auto"/>
                    </w:rPr>
                    <w:t>最近方位距离</w:t>
                  </w:r>
                </w:p>
              </w:tc>
            </w:tr>
            <w:tr w14:paraId="196C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vAlign w:val="center"/>
                </w:tcPr>
                <w:p w14:paraId="4A7E0747">
                  <w:pPr>
                    <w:pStyle w:val="51"/>
                    <w:rPr>
                      <w:color w:val="auto"/>
                    </w:rPr>
                  </w:pPr>
                  <w:r>
                    <w:rPr>
                      <w:rFonts w:hint="eastAsia"/>
                      <w:color w:val="auto"/>
                    </w:rPr>
                    <w:t>废黄河（泗阳县）重要湿地</w:t>
                  </w:r>
                </w:p>
              </w:tc>
              <w:tc>
                <w:tcPr>
                  <w:tcW w:w="672" w:type="pct"/>
                  <w:vAlign w:val="center"/>
                </w:tcPr>
                <w:p w14:paraId="491E47AD">
                  <w:pPr>
                    <w:pStyle w:val="51"/>
                    <w:rPr>
                      <w:color w:val="auto"/>
                    </w:rPr>
                  </w:pPr>
                  <w:r>
                    <w:rPr>
                      <w:rFonts w:hint="eastAsia"/>
                      <w:color w:val="auto"/>
                    </w:rPr>
                    <w:t>湿地生态系统保护</w:t>
                  </w:r>
                </w:p>
              </w:tc>
              <w:tc>
                <w:tcPr>
                  <w:tcW w:w="2257" w:type="pct"/>
                  <w:vAlign w:val="center"/>
                </w:tcPr>
                <w:p w14:paraId="5691BE72">
                  <w:pPr>
                    <w:pStyle w:val="51"/>
                    <w:rPr>
                      <w:color w:val="auto"/>
                    </w:rPr>
                  </w:pPr>
                  <w:r>
                    <w:rPr>
                      <w:rFonts w:hint="eastAsia"/>
                      <w:color w:val="auto"/>
                    </w:rPr>
                    <w:t>泗阳县境内西起临河镇熊码村东至新袁镇新滩村段古黄河水域，及临河镇熊码村至西安路大桥段、上海路至新袁镇新滩村段古黄河两岸100米范围（其中金庄村（徐圩村）至徐淮高速段位两岸200m范围内）</w:t>
                  </w:r>
                </w:p>
              </w:tc>
              <w:tc>
                <w:tcPr>
                  <w:tcW w:w="750" w:type="pct"/>
                  <w:vAlign w:val="center"/>
                </w:tcPr>
                <w:p w14:paraId="1A4F7C13">
                  <w:pPr>
                    <w:pStyle w:val="51"/>
                    <w:rPr>
                      <w:color w:val="auto"/>
                    </w:rPr>
                  </w:pPr>
                  <w:r>
                    <w:rPr>
                      <w:rFonts w:hint="eastAsia"/>
                      <w:color w:val="auto"/>
                    </w:rPr>
                    <w:t>11.0</w:t>
                  </w:r>
                </w:p>
              </w:tc>
              <w:tc>
                <w:tcPr>
                  <w:tcW w:w="577" w:type="pct"/>
                  <w:vAlign w:val="center"/>
                </w:tcPr>
                <w:p w14:paraId="23632F84">
                  <w:pPr>
                    <w:pStyle w:val="51"/>
                    <w:rPr>
                      <w:color w:val="auto"/>
                    </w:rPr>
                  </w:pPr>
                  <w:r>
                    <w:rPr>
                      <w:rFonts w:hint="eastAsia"/>
                      <w:color w:val="auto"/>
                    </w:rPr>
                    <w:t>EN</w:t>
                  </w:r>
                  <w:r>
                    <w:rPr>
                      <w:color w:val="auto"/>
                    </w:rPr>
                    <w:t>，</w:t>
                  </w:r>
                  <w:r>
                    <w:rPr>
                      <w:rFonts w:hint="eastAsia"/>
                      <w:color w:val="auto"/>
                    </w:rPr>
                    <w:t>1.5</w:t>
                  </w:r>
                  <w:r>
                    <w:rPr>
                      <w:color w:val="auto"/>
                    </w:rPr>
                    <w:t>km</w:t>
                  </w:r>
                </w:p>
              </w:tc>
            </w:tr>
            <w:tr w14:paraId="1997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vAlign w:val="center"/>
                </w:tcPr>
                <w:p w14:paraId="35B3991D">
                  <w:pPr>
                    <w:pStyle w:val="51"/>
                    <w:rPr>
                      <w:rFonts w:hint="eastAsia"/>
                      <w:color w:val="auto"/>
                    </w:rPr>
                  </w:pPr>
                  <w:r>
                    <w:rPr>
                      <w:rFonts w:hint="eastAsia"/>
                      <w:color w:val="auto"/>
                    </w:rPr>
                    <w:t>京杭大运河（淮阴区）清水通道维护区</w:t>
                  </w:r>
                </w:p>
              </w:tc>
              <w:tc>
                <w:tcPr>
                  <w:tcW w:w="672" w:type="pct"/>
                  <w:vAlign w:val="center"/>
                </w:tcPr>
                <w:p w14:paraId="286D543F">
                  <w:pPr>
                    <w:pStyle w:val="51"/>
                    <w:rPr>
                      <w:rFonts w:hint="eastAsia"/>
                      <w:color w:val="auto"/>
                    </w:rPr>
                  </w:pPr>
                  <w:r>
                    <w:rPr>
                      <w:rFonts w:hint="eastAsia"/>
                      <w:color w:val="auto"/>
                    </w:rPr>
                    <w:t>水源水质保护</w:t>
                  </w:r>
                </w:p>
              </w:tc>
              <w:tc>
                <w:tcPr>
                  <w:tcW w:w="2257" w:type="pct"/>
                  <w:vAlign w:val="center"/>
                </w:tcPr>
                <w:p w14:paraId="3BB62388">
                  <w:pPr>
                    <w:pStyle w:val="51"/>
                    <w:rPr>
                      <w:rFonts w:hint="eastAsia"/>
                      <w:color w:val="auto"/>
                    </w:rPr>
                  </w:pPr>
                  <w:r>
                    <w:rPr>
                      <w:rFonts w:hint="eastAsia"/>
                      <w:color w:val="auto"/>
                    </w:rPr>
                    <w:t>流经三树、吴城、凌桥、码头4个乡镇，沿河有三坝、三岔、新堡、三园、豆办集、头庄、仲弓、双闸、许渡9个村。为大运河及两岸外侧100米范围</w:t>
                  </w:r>
                </w:p>
              </w:tc>
              <w:tc>
                <w:tcPr>
                  <w:tcW w:w="750" w:type="pct"/>
                  <w:vAlign w:val="center"/>
                </w:tcPr>
                <w:p w14:paraId="28526BEB">
                  <w:pPr>
                    <w:pStyle w:val="51"/>
                    <w:rPr>
                      <w:rFonts w:hint="default" w:eastAsia="宋体"/>
                      <w:color w:val="auto"/>
                      <w:lang w:val="en-US" w:eastAsia="zh-CN"/>
                    </w:rPr>
                  </w:pPr>
                  <w:r>
                    <w:rPr>
                      <w:rFonts w:hint="eastAsia"/>
                      <w:color w:val="auto"/>
                      <w:lang w:val="en-US" w:eastAsia="zh-CN"/>
                    </w:rPr>
                    <w:t>5.74</w:t>
                  </w:r>
                </w:p>
              </w:tc>
              <w:tc>
                <w:tcPr>
                  <w:tcW w:w="577" w:type="pct"/>
                  <w:vAlign w:val="center"/>
                </w:tcPr>
                <w:p w14:paraId="47718839">
                  <w:pPr>
                    <w:pStyle w:val="51"/>
                    <w:rPr>
                      <w:rFonts w:hint="eastAsia"/>
                      <w:color w:val="auto"/>
                    </w:rPr>
                  </w:pPr>
                  <w:r>
                    <w:rPr>
                      <w:rFonts w:hint="eastAsia"/>
                      <w:color w:val="auto"/>
                    </w:rPr>
                    <w:t>EN</w:t>
                  </w:r>
                  <w:r>
                    <w:rPr>
                      <w:color w:val="auto"/>
                    </w:rPr>
                    <w:t>，</w:t>
                  </w:r>
                  <w:r>
                    <w:rPr>
                      <w:rFonts w:hint="eastAsia"/>
                      <w:color w:val="auto"/>
                      <w:lang w:val="en-US" w:eastAsia="zh-CN"/>
                    </w:rPr>
                    <w:t>3.9</w:t>
                  </w:r>
                  <w:r>
                    <w:rPr>
                      <w:color w:val="auto"/>
                    </w:rPr>
                    <w:t>km</w:t>
                  </w:r>
                </w:p>
              </w:tc>
            </w:tr>
          </w:tbl>
          <w:p w14:paraId="766720C2">
            <w:pPr>
              <w:pStyle w:val="47"/>
              <w:ind w:firstLine="480"/>
              <w:rPr>
                <w:color w:val="auto"/>
              </w:rPr>
            </w:pPr>
            <w:r>
              <w:rPr>
                <w:color w:val="auto"/>
              </w:rPr>
              <w:t>综上所述，本项目建设符合生态红线相关要求。项目在江苏省生态空间保护区域分布图中的位置见附图6。</w:t>
            </w:r>
          </w:p>
          <w:p w14:paraId="31DBB96B">
            <w:pPr>
              <w:pStyle w:val="47"/>
              <w:ind w:firstLine="482"/>
              <w:rPr>
                <w:b/>
                <w:bCs/>
                <w:color w:val="auto"/>
              </w:rPr>
            </w:pPr>
            <w:r>
              <w:rPr>
                <w:b/>
                <w:bCs/>
                <w:color w:val="auto"/>
              </w:rPr>
              <w:t>（2）与环境质量底线的相符性分析</w:t>
            </w:r>
          </w:p>
          <w:p w14:paraId="2DE4DDED">
            <w:pPr>
              <w:pStyle w:val="47"/>
              <w:ind w:firstLine="482"/>
              <w:rPr>
                <w:color w:val="auto"/>
              </w:rPr>
            </w:pPr>
            <w:r>
              <w:rPr>
                <w:b/>
                <w:bCs/>
                <w:color w:val="auto"/>
              </w:rPr>
              <w:t>环境空气质量状况</w:t>
            </w:r>
            <w:r>
              <w:rPr>
                <w:color w:val="auto"/>
              </w:rPr>
              <w:t>：根据《泗阳县2023年度环境质量公报》可知，2023年度泗阳县优良天数比率为79.2%。超标天数76天，其中轻度污染占17.0%，中度污染占2.5%，重度污染占0.8%，严重污染占0.5%。2023年泗阳县共超标76天，首要污染物为PM</w:t>
            </w:r>
            <w:r>
              <w:rPr>
                <w:color w:val="auto"/>
                <w:vertAlign w:val="subscript"/>
              </w:rPr>
              <w:t>2.5</w:t>
            </w:r>
            <w:r>
              <w:rPr>
                <w:color w:val="auto"/>
              </w:rPr>
              <w:t>占39.5%，O</w:t>
            </w:r>
            <w:r>
              <w:rPr>
                <w:color w:val="auto"/>
                <w:vertAlign w:val="subscript"/>
              </w:rPr>
              <w:t>3</w:t>
            </w:r>
            <w:r>
              <w:rPr>
                <w:color w:val="auto"/>
              </w:rPr>
              <w:t>占比42.1%，PM</w:t>
            </w:r>
            <w:r>
              <w:rPr>
                <w:color w:val="auto"/>
                <w:vertAlign w:val="subscript"/>
              </w:rPr>
              <w:t>10</w:t>
            </w:r>
            <w:r>
              <w:rPr>
                <w:color w:val="auto"/>
              </w:rPr>
              <w:t>占比18.4%。PM</w:t>
            </w:r>
            <w:r>
              <w:rPr>
                <w:color w:val="auto"/>
                <w:vertAlign w:val="subscript"/>
              </w:rPr>
              <w:t>2.5</w:t>
            </w:r>
            <w:r>
              <w:rPr>
                <w:color w:val="auto"/>
              </w:rPr>
              <w:t>、PM</w:t>
            </w:r>
            <w:r>
              <w:rPr>
                <w:color w:val="auto"/>
                <w:vertAlign w:val="subscript"/>
              </w:rPr>
              <w:t>10</w:t>
            </w:r>
            <w:r>
              <w:rPr>
                <w:color w:val="auto"/>
              </w:rPr>
              <w:t>、O</w:t>
            </w:r>
            <w:r>
              <w:rPr>
                <w:color w:val="auto"/>
                <w:vertAlign w:val="subscript"/>
              </w:rPr>
              <w:t>3</w:t>
            </w:r>
            <w:r>
              <w:rPr>
                <w:color w:val="auto"/>
              </w:rPr>
              <w:t>日最大8小时平均、SO</w:t>
            </w:r>
            <w:r>
              <w:rPr>
                <w:color w:val="auto"/>
                <w:vertAlign w:val="subscript"/>
              </w:rPr>
              <w:t>2</w:t>
            </w:r>
            <w:r>
              <w:rPr>
                <w:color w:val="auto"/>
              </w:rPr>
              <w:t>、NO</w:t>
            </w:r>
            <w:r>
              <w:rPr>
                <w:color w:val="auto"/>
                <w:vertAlign w:val="subscript"/>
              </w:rPr>
              <w:t>2</w:t>
            </w:r>
            <w:r>
              <w:rPr>
                <w:color w:val="auto"/>
              </w:rPr>
              <w:t>、CO等6项污染物的日平均达标率分别为90.4%、93.7%、91.0%、100%、99.7%。与2022年相比，泗阳县环境空气中SO</w:t>
            </w:r>
            <w:r>
              <w:rPr>
                <w:color w:val="auto"/>
                <w:vertAlign w:val="subscript"/>
              </w:rPr>
              <w:t>2</w:t>
            </w:r>
            <w:r>
              <w:rPr>
                <w:color w:val="auto"/>
              </w:rPr>
              <w:t>、PM</w:t>
            </w:r>
            <w:r>
              <w:rPr>
                <w:color w:val="auto"/>
                <w:vertAlign w:val="subscript"/>
              </w:rPr>
              <w:t>10</w:t>
            </w:r>
            <w:r>
              <w:rPr>
                <w:color w:val="auto"/>
              </w:rPr>
              <w:t>和NO</w:t>
            </w:r>
            <w:r>
              <w:rPr>
                <w:color w:val="auto"/>
                <w:vertAlign w:val="subscript"/>
              </w:rPr>
              <w:t>2</w:t>
            </w:r>
            <w:r>
              <w:rPr>
                <w:color w:val="auto"/>
              </w:rPr>
              <w:t>年均值均有所上升，上升幅度分别为28.6%、3.4%、12.5%，CO日均值第95百分位浓度同比上升10.0%，O</w:t>
            </w:r>
            <w:r>
              <w:rPr>
                <w:color w:val="auto"/>
                <w:vertAlign w:val="subscript"/>
              </w:rPr>
              <w:t>3</w:t>
            </w:r>
            <w:r>
              <w:rPr>
                <w:color w:val="auto"/>
              </w:rPr>
              <w:t>日最大8小时均值第90百分位浓度同比下降1.2%。</w:t>
            </w:r>
          </w:p>
          <w:p w14:paraId="5B64B61E">
            <w:pPr>
              <w:pStyle w:val="47"/>
              <w:ind w:firstLine="480"/>
              <w:rPr>
                <w:color w:val="auto"/>
              </w:rPr>
            </w:pPr>
            <w:r>
              <w:rPr>
                <w:color w:val="auto"/>
              </w:rPr>
              <w:t>结合宿迁市实际，宿迁市深入打好污染防治攻坚战指挥部印发了《关于印发宿迁市2024年大气、水、土壤、工业固体废物污染防治工作方案的通知》（宿污防攻坚指〔2024〕8号）。宿迁市通过执行大气污染防治工作方案，可以降低全市PM</w:t>
            </w:r>
            <w:r>
              <w:rPr>
                <w:color w:val="auto"/>
                <w:vertAlign w:val="subscript"/>
              </w:rPr>
              <w:t>2.5</w:t>
            </w:r>
            <w:r>
              <w:rPr>
                <w:color w:val="auto"/>
              </w:rPr>
              <w:t>浓度，提升空气质量优良天数比例，遏制臭氧浓度增长趋势，使得环境空气质量得到进一步改善。随着大气污染防治方案的实施，环境空气质量将会有所好转。</w:t>
            </w:r>
          </w:p>
          <w:p w14:paraId="7B9C7B56">
            <w:pPr>
              <w:pStyle w:val="47"/>
              <w:ind w:firstLine="482"/>
              <w:rPr>
                <w:color w:val="auto"/>
              </w:rPr>
            </w:pPr>
            <w:r>
              <w:rPr>
                <w:b/>
                <w:bCs/>
                <w:color w:val="auto"/>
              </w:rPr>
              <w:t>水环境质量状况</w:t>
            </w:r>
            <w:r>
              <w:rPr>
                <w:color w:val="auto"/>
              </w:rPr>
              <w:t>：本项目仅外排职工生活污水，生活污水经厂区内化粪池预处理达标后接管至</w:t>
            </w:r>
            <w:r>
              <w:rPr>
                <w:rFonts w:hint="eastAsia"/>
                <w:color w:val="auto"/>
              </w:rPr>
              <w:t>新袁镇</w:t>
            </w:r>
            <w:r>
              <w:rPr>
                <w:color w:val="auto"/>
              </w:rPr>
              <w:t>污水处理厂集中处理，尾水排入</w:t>
            </w:r>
            <w:r>
              <w:rPr>
                <w:rFonts w:hint="eastAsia"/>
                <w:color w:val="auto"/>
              </w:rPr>
              <w:t>黄码河</w:t>
            </w:r>
            <w:r>
              <w:rPr>
                <w:color w:val="auto"/>
              </w:rPr>
              <w:t>。根据《泗阳县新袁镇工业园区开发建设规划环境影响报告书》</w:t>
            </w:r>
            <w:r>
              <w:rPr>
                <w:rFonts w:hint="eastAsia"/>
                <w:color w:val="auto"/>
              </w:rPr>
              <w:t>中</w:t>
            </w:r>
            <w:r>
              <w:rPr>
                <w:color w:val="auto"/>
              </w:rPr>
              <w:t>渔业水-坝头村东侧</w:t>
            </w:r>
            <w:r>
              <w:rPr>
                <w:rFonts w:hint="eastAsia"/>
                <w:color w:val="auto"/>
              </w:rPr>
              <w:t>、</w:t>
            </w:r>
            <w:r>
              <w:rPr>
                <w:color w:val="auto"/>
              </w:rPr>
              <w:t>新袁镇污水处理厂排口下游500m</w:t>
            </w:r>
            <w:r>
              <w:rPr>
                <w:rFonts w:hint="eastAsia"/>
                <w:color w:val="auto"/>
              </w:rPr>
              <w:t>两</w:t>
            </w:r>
            <w:r>
              <w:rPr>
                <w:color w:val="auto"/>
              </w:rPr>
              <w:t>个点位的监测数据，</w:t>
            </w:r>
            <w:r>
              <w:rPr>
                <w:rFonts w:hint="eastAsia"/>
                <w:color w:val="auto"/>
              </w:rPr>
              <w:t>黄码河</w:t>
            </w:r>
            <w:r>
              <w:rPr>
                <w:color w:val="auto"/>
              </w:rPr>
              <w:t>COD、TN存在不同程度的超标</w:t>
            </w:r>
            <w:r>
              <w:rPr>
                <w:rFonts w:hint="eastAsia"/>
                <w:color w:val="auto"/>
              </w:rPr>
              <w:t>。</w:t>
            </w:r>
          </w:p>
          <w:p w14:paraId="1834886B">
            <w:pPr>
              <w:pStyle w:val="47"/>
              <w:ind w:firstLine="480"/>
              <w:rPr>
                <w:color w:val="auto"/>
              </w:rPr>
            </w:pPr>
            <w:r>
              <w:rPr>
                <w:color w:val="auto"/>
              </w:rPr>
              <w:t>园区规划尽快完成河道管护、农业面源污染治理、污水管网及基础设施建设，减少污水直接外排量，届时黄码河水质可满足功能区划要求。</w:t>
            </w:r>
          </w:p>
          <w:p w14:paraId="3D01F866">
            <w:pPr>
              <w:pStyle w:val="47"/>
              <w:ind w:firstLine="482"/>
              <w:rPr>
                <w:color w:val="auto"/>
              </w:rPr>
            </w:pPr>
            <w:r>
              <w:rPr>
                <w:b/>
                <w:bCs/>
                <w:color w:val="auto"/>
              </w:rPr>
              <w:t>声环境质量状况</w:t>
            </w:r>
            <w:r>
              <w:rPr>
                <w:color w:val="auto"/>
              </w:rPr>
              <w:t>：根据《泗阳县2023年度环境质量公报》可知，泗阳县功能区噪声平均等效声级范围为41.2~64.3dB(A)，依据《声环境质量标准》（GB3096-2018）评价本年度年平均等效声级符合相应功能区环境噪声限值，无超标现象。</w:t>
            </w:r>
          </w:p>
          <w:p w14:paraId="09A61D77">
            <w:pPr>
              <w:pStyle w:val="47"/>
              <w:ind w:firstLine="480"/>
              <w:rPr>
                <w:color w:val="auto"/>
              </w:rPr>
            </w:pPr>
            <w:r>
              <w:rPr>
                <w:color w:val="auto"/>
              </w:rPr>
              <w:t>本项目运营过程中会产生一定的废气、废水、噪声等污染物，采取相应的污染防治措施后，各类污染物均能达标排放，对周围环境影响较小，不会降低当地环境质量功能。</w:t>
            </w:r>
          </w:p>
          <w:p w14:paraId="67CB1B05">
            <w:pPr>
              <w:pStyle w:val="47"/>
              <w:ind w:firstLine="482"/>
              <w:rPr>
                <w:b/>
                <w:bCs/>
                <w:color w:val="auto"/>
              </w:rPr>
            </w:pPr>
            <w:r>
              <w:rPr>
                <w:b/>
                <w:bCs/>
                <w:color w:val="auto"/>
              </w:rPr>
              <w:t>（3）与资源利用上线的相符性分析</w:t>
            </w:r>
          </w:p>
          <w:p w14:paraId="387CA26D">
            <w:pPr>
              <w:pStyle w:val="47"/>
              <w:bidi w:val="0"/>
              <w:rPr>
                <w:color w:val="auto"/>
              </w:rPr>
            </w:pPr>
            <w:r>
              <w:rPr>
                <w:color w:val="auto"/>
              </w:rPr>
              <w:t>本项目运营过程中会消耗一定量的电、水资源等。项目用水来自区域自来水管网，不会达到资源利用上限。项目用电由市政电网供给，不会达到资源利用上限。项目用地为</w:t>
            </w:r>
            <w:r>
              <w:rPr>
                <w:rFonts w:hint="eastAsia"/>
                <w:color w:val="auto"/>
              </w:rPr>
              <w:t>工业用地和工业发展备用地</w:t>
            </w:r>
            <w:r>
              <w:rPr>
                <w:color w:val="auto"/>
              </w:rPr>
              <w:t>，符合当地土地规划要求，也不会达到资源利用上限。综上，项目资源消耗量相对区域资源利用总量较少，符合资源利用上限要求。</w:t>
            </w:r>
          </w:p>
          <w:p w14:paraId="11C12BBA">
            <w:pPr>
              <w:pStyle w:val="47"/>
              <w:bidi w:val="0"/>
              <w:rPr>
                <w:b/>
                <w:bCs/>
                <w:color w:val="auto"/>
              </w:rPr>
            </w:pPr>
            <w:r>
              <w:rPr>
                <w:b/>
                <w:bCs/>
                <w:color w:val="auto"/>
              </w:rPr>
              <w:t>（4）与生态环境准入清单的相符性分析</w:t>
            </w:r>
          </w:p>
          <w:p w14:paraId="4B0C9F6E">
            <w:pPr>
              <w:pStyle w:val="47"/>
              <w:bidi w:val="0"/>
              <w:rPr>
                <w:b/>
                <w:bCs/>
                <w:color w:val="auto"/>
              </w:rPr>
            </w:pPr>
            <w:r>
              <w:rPr>
                <w:b/>
                <w:bCs/>
                <w:color w:val="auto"/>
              </w:rPr>
              <w:t>①与《宿迁市“三线一单”生态环境分区管控实施方案》（宿环发〔2020〕78号）的相符性分析</w:t>
            </w:r>
          </w:p>
          <w:p w14:paraId="065F2E0A">
            <w:pPr>
              <w:pStyle w:val="47"/>
              <w:bidi w:val="0"/>
              <w:rPr>
                <w:color w:val="auto"/>
              </w:rPr>
            </w:pPr>
            <w:r>
              <w:rPr>
                <w:color w:val="auto"/>
              </w:rPr>
              <w:t>根据《宿迁市“三线一单”生态环境分区管控实施方案》，本项目位于江苏省宿迁市泗阳县新袁镇广州路28号，属于</w:t>
            </w:r>
            <w:r>
              <w:rPr>
                <w:rFonts w:hint="eastAsia"/>
                <w:color w:val="auto"/>
              </w:rPr>
              <w:t>新袁镇工业集聚区，为</w:t>
            </w:r>
            <w:r>
              <w:rPr>
                <w:color w:val="auto"/>
              </w:rPr>
              <w:t>重点管控单元。经分析，本项目建设符合生态环境分区管控要求，详见</w:t>
            </w:r>
            <w:r>
              <w:rPr>
                <w:color w:val="auto"/>
              </w:rPr>
              <w:fldChar w:fldCharType="begin"/>
            </w:r>
            <w:r>
              <w:rPr>
                <w:color w:val="auto"/>
              </w:rPr>
              <w:instrText xml:space="preserve"> REF _Ref29815 \h </w:instrText>
            </w:r>
            <w:r>
              <w:rPr>
                <w:color w:val="auto"/>
              </w:rPr>
              <w:fldChar w:fldCharType="separate"/>
            </w:r>
            <w:r>
              <w:rPr>
                <w:color w:val="auto"/>
              </w:rPr>
              <w:t>表1- 4</w:t>
            </w:r>
            <w:r>
              <w:rPr>
                <w:color w:val="auto"/>
              </w:rPr>
              <w:fldChar w:fldCharType="end"/>
            </w:r>
            <w:r>
              <w:rPr>
                <w:color w:val="auto"/>
              </w:rPr>
              <w:t>。</w:t>
            </w:r>
          </w:p>
          <w:p w14:paraId="7E6C7F45">
            <w:pPr>
              <w:pStyle w:val="7"/>
              <w:rPr>
                <w:color w:val="auto"/>
              </w:rPr>
            </w:pPr>
            <w:bookmarkStart w:id="7" w:name="_Ref28052"/>
            <w:bookmarkStart w:id="8" w:name="_Ref29815"/>
            <w:bookmarkStart w:id="9" w:name="_Ref14010"/>
            <w:r>
              <w:rPr>
                <w:color w:val="auto"/>
              </w:rPr>
              <w:t xml:space="preserve">表1- </w:t>
            </w:r>
            <w:r>
              <w:rPr>
                <w:color w:val="auto"/>
              </w:rPr>
              <w:fldChar w:fldCharType="begin"/>
            </w:r>
            <w:r>
              <w:rPr>
                <w:color w:val="auto"/>
              </w:rPr>
              <w:instrText xml:space="preserve"> SEQ 表1- \* ARABIC </w:instrText>
            </w:r>
            <w:r>
              <w:rPr>
                <w:color w:val="auto"/>
              </w:rPr>
              <w:fldChar w:fldCharType="separate"/>
            </w:r>
            <w:r>
              <w:rPr>
                <w:color w:val="auto"/>
              </w:rPr>
              <w:t>4</w:t>
            </w:r>
            <w:r>
              <w:rPr>
                <w:color w:val="auto"/>
              </w:rPr>
              <w:fldChar w:fldCharType="end"/>
            </w:r>
            <w:bookmarkEnd w:id="7"/>
            <w:bookmarkEnd w:id="8"/>
            <w:bookmarkEnd w:id="9"/>
            <w:r>
              <w:rPr>
                <w:color w:val="auto"/>
              </w:rPr>
              <w:t xml:space="preserve"> 项目与宿迁市重点管控单元生态环境准入清单相符性分析</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653"/>
              <w:gridCol w:w="3306"/>
              <w:gridCol w:w="2862"/>
              <w:gridCol w:w="642"/>
            </w:tblGrid>
            <w:tr w14:paraId="6931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29875DE9">
                  <w:pPr>
                    <w:pStyle w:val="49"/>
                    <w:rPr>
                      <w:color w:val="auto"/>
                    </w:rPr>
                  </w:pPr>
                  <w:r>
                    <w:rPr>
                      <w:color w:val="auto"/>
                    </w:rPr>
                    <w:t>管控单元</w:t>
                  </w:r>
                </w:p>
              </w:tc>
              <w:tc>
                <w:tcPr>
                  <w:tcW w:w="2437" w:type="pct"/>
                  <w:gridSpan w:val="2"/>
                  <w:vAlign w:val="center"/>
                </w:tcPr>
                <w:p w14:paraId="4E866814">
                  <w:pPr>
                    <w:pStyle w:val="49"/>
                    <w:rPr>
                      <w:color w:val="auto"/>
                    </w:rPr>
                  </w:pPr>
                  <w:r>
                    <w:rPr>
                      <w:color w:val="auto"/>
                    </w:rPr>
                    <w:t>管控要求</w:t>
                  </w:r>
                </w:p>
              </w:tc>
              <w:tc>
                <w:tcPr>
                  <w:tcW w:w="1762" w:type="pct"/>
                  <w:vAlign w:val="center"/>
                </w:tcPr>
                <w:p w14:paraId="2968A29B">
                  <w:pPr>
                    <w:pStyle w:val="49"/>
                    <w:rPr>
                      <w:color w:val="auto"/>
                    </w:rPr>
                  </w:pPr>
                  <w:r>
                    <w:rPr>
                      <w:color w:val="auto"/>
                    </w:rPr>
                    <w:t>本项目相符性分析</w:t>
                  </w:r>
                </w:p>
              </w:tc>
              <w:tc>
                <w:tcPr>
                  <w:tcW w:w="395" w:type="pct"/>
                  <w:vAlign w:val="center"/>
                </w:tcPr>
                <w:p w14:paraId="304B9770">
                  <w:pPr>
                    <w:pStyle w:val="49"/>
                    <w:rPr>
                      <w:color w:val="auto"/>
                    </w:rPr>
                  </w:pPr>
                  <w:r>
                    <w:rPr>
                      <w:color w:val="auto"/>
                    </w:rPr>
                    <w:t>相符性</w:t>
                  </w:r>
                </w:p>
              </w:tc>
            </w:tr>
            <w:tr w14:paraId="1CB7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5" w:type="pct"/>
                  <w:vMerge w:val="restart"/>
                  <w:vAlign w:val="center"/>
                </w:tcPr>
                <w:p w14:paraId="4043F8E0">
                  <w:pPr>
                    <w:pStyle w:val="51"/>
                    <w:rPr>
                      <w:color w:val="auto"/>
                    </w:rPr>
                  </w:pPr>
                  <w:r>
                    <w:rPr>
                      <w:color w:val="auto"/>
                    </w:rPr>
                    <w:t>新袁镇工业集聚区</w:t>
                  </w:r>
                </w:p>
              </w:tc>
              <w:tc>
                <w:tcPr>
                  <w:tcW w:w="402" w:type="pct"/>
                  <w:vAlign w:val="center"/>
                </w:tcPr>
                <w:p w14:paraId="7646A067">
                  <w:pPr>
                    <w:pStyle w:val="51"/>
                    <w:rPr>
                      <w:color w:val="auto"/>
                    </w:rPr>
                  </w:pPr>
                  <w:r>
                    <w:rPr>
                      <w:color w:val="auto"/>
                    </w:rPr>
                    <w:t>空间布局约束</w:t>
                  </w:r>
                </w:p>
              </w:tc>
              <w:tc>
                <w:tcPr>
                  <w:tcW w:w="2035" w:type="pct"/>
                  <w:vAlign w:val="center"/>
                </w:tcPr>
                <w:p w14:paraId="35A73213">
                  <w:pPr>
                    <w:pStyle w:val="51"/>
                    <w:rPr>
                      <w:color w:val="auto"/>
                    </w:rPr>
                  </w:pPr>
                  <w:r>
                    <w:rPr>
                      <w:color w:val="auto"/>
                    </w:rPr>
                    <w:t>不得引进以下项目：（1）高能耗、高污染、高排放和采用落后技术、落后工艺、落后装备的项目；（2）化工、印染、印花、电镀、造纸、化肥、染料、农药、酿造、电石、冶炼、铁合金、焦炭、制革、电镀等重污染项目；（3）重金属项目；（4）有毒有机有害气体项目；（5）日排放废水50吨以上的项目。限制引入废旧资源再加工项目。</w:t>
                  </w:r>
                </w:p>
              </w:tc>
              <w:tc>
                <w:tcPr>
                  <w:tcW w:w="1762" w:type="pct"/>
                  <w:vAlign w:val="center"/>
                </w:tcPr>
                <w:p w14:paraId="1EF0A289">
                  <w:pPr>
                    <w:pStyle w:val="51"/>
                    <w:rPr>
                      <w:color w:val="auto"/>
                    </w:rPr>
                  </w:pPr>
                  <w:r>
                    <w:rPr>
                      <w:rFonts w:hint="eastAsia"/>
                      <w:color w:val="auto"/>
                    </w:rPr>
                    <w:t>①</w:t>
                  </w:r>
                  <w:r>
                    <w:rPr>
                      <w:color w:val="auto"/>
                    </w:rPr>
                    <w:t>本项目</w:t>
                  </w:r>
                  <w:r>
                    <w:rPr>
                      <w:rFonts w:hint="eastAsia"/>
                      <w:color w:val="auto"/>
                    </w:rPr>
                    <w:t>为化纤织造行业，生产</w:t>
                  </w:r>
                  <w:r>
                    <w:rPr>
                      <w:color w:val="auto"/>
                    </w:rPr>
                    <w:t>产品为</w:t>
                  </w:r>
                  <w:r>
                    <w:rPr>
                      <w:rFonts w:hint="eastAsia"/>
                      <w:color w:val="auto"/>
                    </w:rPr>
                    <w:t>化纤面料</w:t>
                  </w:r>
                  <w:r>
                    <w:rPr>
                      <w:color w:val="auto"/>
                    </w:rPr>
                    <w:t>，</w:t>
                  </w:r>
                  <w:r>
                    <w:rPr>
                      <w:rFonts w:hint="eastAsia"/>
                      <w:color w:val="auto"/>
                    </w:rPr>
                    <w:t>属于园区定位产业中的化纤织造项目。</w:t>
                  </w:r>
                </w:p>
                <w:p w14:paraId="58E96FD5">
                  <w:pPr>
                    <w:pStyle w:val="51"/>
                    <w:rPr>
                      <w:color w:val="auto"/>
                    </w:rPr>
                  </w:pPr>
                  <w:r>
                    <w:rPr>
                      <w:rFonts w:hint="eastAsia"/>
                      <w:color w:val="auto"/>
                    </w:rPr>
                    <w:t>②本项目不属于所列禁止引入类项目。</w:t>
                  </w:r>
                </w:p>
                <w:p w14:paraId="45D7555A">
                  <w:pPr>
                    <w:pStyle w:val="51"/>
                    <w:rPr>
                      <w:color w:val="auto"/>
                    </w:rPr>
                  </w:pPr>
                  <w:r>
                    <w:rPr>
                      <w:rFonts w:hint="eastAsia"/>
                      <w:color w:val="auto"/>
                    </w:rPr>
                    <w:t>③本项目仅外排职工生活污水，日排放量为8吨。</w:t>
                  </w:r>
                </w:p>
              </w:tc>
              <w:tc>
                <w:tcPr>
                  <w:tcW w:w="395" w:type="pct"/>
                  <w:vAlign w:val="center"/>
                </w:tcPr>
                <w:p w14:paraId="4C44B571">
                  <w:pPr>
                    <w:pStyle w:val="51"/>
                    <w:rPr>
                      <w:color w:val="auto"/>
                    </w:rPr>
                  </w:pPr>
                  <w:r>
                    <w:rPr>
                      <w:color w:val="auto"/>
                    </w:rPr>
                    <w:t>符合</w:t>
                  </w:r>
                </w:p>
              </w:tc>
            </w:tr>
            <w:tr w14:paraId="3EE4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5" w:type="pct"/>
                  <w:vMerge w:val="continue"/>
                  <w:vAlign w:val="center"/>
                </w:tcPr>
                <w:p w14:paraId="4E6C1CED">
                  <w:pPr>
                    <w:pStyle w:val="51"/>
                    <w:rPr>
                      <w:color w:val="auto"/>
                    </w:rPr>
                  </w:pPr>
                </w:p>
              </w:tc>
              <w:tc>
                <w:tcPr>
                  <w:tcW w:w="402" w:type="pct"/>
                  <w:vAlign w:val="center"/>
                </w:tcPr>
                <w:p w14:paraId="4303DC3F">
                  <w:pPr>
                    <w:pStyle w:val="51"/>
                    <w:rPr>
                      <w:color w:val="auto"/>
                    </w:rPr>
                  </w:pPr>
                  <w:r>
                    <w:rPr>
                      <w:color w:val="auto"/>
                    </w:rPr>
                    <w:t>污染物排放管控</w:t>
                  </w:r>
                </w:p>
              </w:tc>
              <w:tc>
                <w:tcPr>
                  <w:tcW w:w="2035" w:type="pct"/>
                  <w:vAlign w:val="center"/>
                </w:tcPr>
                <w:p w14:paraId="3C2EC942">
                  <w:pPr>
                    <w:pStyle w:val="51"/>
                    <w:rPr>
                      <w:color w:val="auto"/>
                    </w:rPr>
                  </w:pPr>
                  <w:r>
                    <w:rPr>
                      <w:color w:val="auto"/>
                    </w:rPr>
                    <w:t>设置完善的污染治理设施及管理体系，从园区层面提高企业的清洁生产水平，实现污染综合治理和集中控制。</w:t>
                  </w:r>
                </w:p>
              </w:tc>
              <w:tc>
                <w:tcPr>
                  <w:tcW w:w="1762" w:type="pct"/>
                  <w:vAlign w:val="center"/>
                </w:tcPr>
                <w:p w14:paraId="73604EE8">
                  <w:pPr>
                    <w:pStyle w:val="51"/>
                    <w:rPr>
                      <w:color w:val="auto"/>
                    </w:rPr>
                  </w:pPr>
                  <w:r>
                    <w:rPr>
                      <w:rFonts w:hint="eastAsia"/>
                      <w:color w:val="auto"/>
                    </w:rPr>
                    <w:t>本项目将按要求建设完善的污染物治理设施及管理体系，符合污染物排放管控要求。</w:t>
                  </w:r>
                </w:p>
              </w:tc>
              <w:tc>
                <w:tcPr>
                  <w:tcW w:w="395" w:type="pct"/>
                  <w:vAlign w:val="center"/>
                </w:tcPr>
                <w:p w14:paraId="205DB8EE">
                  <w:pPr>
                    <w:pStyle w:val="51"/>
                    <w:rPr>
                      <w:color w:val="auto"/>
                    </w:rPr>
                  </w:pPr>
                  <w:r>
                    <w:rPr>
                      <w:color w:val="auto"/>
                    </w:rPr>
                    <w:t>符合</w:t>
                  </w:r>
                </w:p>
              </w:tc>
            </w:tr>
            <w:tr w14:paraId="0297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05" w:type="pct"/>
                  <w:vMerge w:val="continue"/>
                  <w:vAlign w:val="center"/>
                </w:tcPr>
                <w:p w14:paraId="267DB88B">
                  <w:pPr>
                    <w:pStyle w:val="51"/>
                    <w:rPr>
                      <w:color w:val="auto"/>
                    </w:rPr>
                  </w:pPr>
                </w:p>
              </w:tc>
              <w:tc>
                <w:tcPr>
                  <w:tcW w:w="402" w:type="pct"/>
                  <w:vAlign w:val="center"/>
                </w:tcPr>
                <w:p w14:paraId="30E36B49">
                  <w:pPr>
                    <w:pStyle w:val="51"/>
                    <w:rPr>
                      <w:color w:val="auto"/>
                    </w:rPr>
                  </w:pPr>
                  <w:r>
                    <w:rPr>
                      <w:color w:val="auto"/>
                    </w:rPr>
                    <w:t>环境风险防控</w:t>
                  </w:r>
                </w:p>
              </w:tc>
              <w:tc>
                <w:tcPr>
                  <w:tcW w:w="2035" w:type="pct"/>
                  <w:vAlign w:val="center"/>
                </w:tcPr>
                <w:p w14:paraId="24E4652D">
                  <w:pPr>
                    <w:pStyle w:val="51"/>
                    <w:rPr>
                      <w:color w:val="auto"/>
                    </w:rPr>
                  </w:pPr>
                  <w:r>
                    <w:rPr>
                      <w:color w:val="auto"/>
                    </w:rPr>
                    <w:t>制定并落实园区建设项目环境风险防范措施和事故应急预案，并定期演练，防止和减轻事故危害。</w:t>
                  </w:r>
                </w:p>
              </w:tc>
              <w:tc>
                <w:tcPr>
                  <w:tcW w:w="1762" w:type="pct"/>
                  <w:vAlign w:val="center"/>
                </w:tcPr>
                <w:p w14:paraId="59A86312">
                  <w:pPr>
                    <w:pStyle w:val="51"/>
                    <w:rPr>
                      <w:color w:val="auto"/>
                    </w:rPr>
                  </w:pPr>
                  <w:r>
                    <w:rPr>
                      <w:rFonts w:hint="eastAsia"/>
                      <w:color w:val="auto"/>
                    </w:rPr>
                    <w:t>本项目建成后将制定并落实环境风险防范措施，并定期进行演练，防止和减轻事故危害。</w:t>
                  </w:r>
                </w:p>
              </w:tc>
              <w:tc>
                <w:tcPr>
                  <w:tcW w:w="395" w:type="pct"/>
                  <w:vAlign w:val="center"/>
                </w:tcPr>
                <w:p w14:paraId="59CFBC87">
                  <w:pPr>
                    <w:pStyle w:val="51"/>
                    <w:rPr>
                      <w:color w:val="auto"/>
                    </w:rPr>
                  </w:pPr>
                  <w:r>
                    <w:rPr>
                      <w:color w:val="auto"/>
                    </w:rPr>
                    <w:t>符合</w:t>
                  </w:r>
                </w:p>
              </w:tc>
            </w:tr>
            <w:tr w14:paraId="4198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405" w:type="pct"/>
                  <w:vMerge w:val="continue"/>
                  <w:vAlign w:val="center"/>
                </w:tcPr>
                <w:p w14:paraId="1289A6C1">
                  <w:pPr>
                    <w:pStyle w:val="51"/>
                    <w:rPr>
                      <w:color w:val="auto"/>
                    </w:rPr>
                  </w:pPr>
                </w:p>
              </w:tc>
              <w:tc>
                <w:tcPr>
                  <w:tcW w:w="402" w:type="pct"/>
                  <w:vAlign w:val="center"/>
                </w:tcPr>
                <w:p w14:paraId="404FC7DE">
                  <w:pPr>
                    <w:pStyle w:val="51"/>
                    <w:rPr>
                      <w:color w:val="auto"/>
                    </w:rPr>
                  </w:pPr>
                  <w:r>
                    <w:rPr>
                      <w:color w:val="auto"/>
                    </w:rPr>
                    <w:t>资源开发效率要求</w:t>
                  </w:r>
                </w:p>
              </w:tc>
              <w:tc>
                <w:tcPr>
                  <w:tcW w:w="2035" w:type="pct"/>
                  <w:vAlign w:val="center"/>
                </w:tcPr>
                <w:p w14:paraId="489D7165">
                  <w:pPr>
                    <w:pStyle w:val="51"/>
                    <w:rPr>
                      <w:color w:val="auto"/>
                    </w:rPr>
                  </w:pPr>
                  <w:r>
                    <w:rPr>
                      <w:color w:val="auto"/>
                    </w:rPr>
                    <w:t>行业企业清洁生产水平达到国内清洁生产先进水平及以上要求。</w:t>
                  </w:r>
                </w:p>
              </w:tc>
              <w:tc>
                <w:tcPr>
                  <w:tcW w:w="1762" w:type="pct"/>
                  <w:vAlign w:val="center"/>
                </w:tcPr>
                <w:p w14:paraId="2C0B4897">
                  <w:pPr>
                    <w:pStyle w:val="51"/>
                    <w:rPr>
                      <w:color w:val="auto"/>
                    </w:rPr>
                  </w:pPr>
                  <w:r>
                    <w:rPr>
                      <w:rFonts w:hint="eastAsia"/>
                      <w:color w:val="auto"/>
                    </w:rPr>
                    <w:t>本项目采用清洁的原辅料、先进的生产工艺。项目生产过程中产生的废气、废水经采取相应措施后均能达标排放，固废均能实现合理处置。因此，本项目清洁生产水平可达到国内先进水平。</w:t>
                  </w:r>
                </w:p>
              </w:tc>
              <w:tc>
                <w:tcPr>
                  <w:tcW w:w="395" w:type="pct"/>
                  <w:vAlign w:val="center"/>
                </w:tcPr>
                <w:p w14:paraId="4FC09ED0">
                  <w:pPr>
                    <w:pStyle w:val="51"/>
                    <w:rPr>
                      <w:color w:val="auto"/>
                    </w:rPr>
                  </w:pPr>
                  <w:r>
                    <w:rPr>
                      <w:color w:val="auto"/>
                    </w:rPr>
                    <w:t>符合</w:t>
                  </w:r>
                </w:p>
              </w:tc>
            </w:tr>
          </w:tbl>
          <w:p w14:paraId="1BCBCC5F">
            <w:pPr>
              <w:pStyle w:val="47"/>
              <w:ind w:firstLine="480"/>
              <w:rPr>
                <w:color w:val="auto"/>
              </w:rPr>
            </w:pPr>
            <w:r>
              <w:rPr>
                <w:color w:val="auto"/>
              </w:rPr>
              <w:t>由</w:t>
            </w:r>
            <w:r>
              <w:rPr>
                <w:color w:val="auto"/>
              </w:rPr>
              <w:fldChar w:fldCharType="begin"/>
            </w:r>
            <w:r>
              <w:rPr>
                <w:color w:val="auto"/>
              </w:rPr>
              <w:instrText xml:space="preserve"> REF _Ref29815 \h </w:instrText>
            </w:r>
            <w:r>
              <w:rPr>
                <w:color w:val="auto"/>
              </w:rPr>
              <w:fldChar w:fldCharType="separate"/>
            </w:r>
            <w:r>
              <w:rPr>
                <w:color w:val="auto"/>
              </w:rPr>
              <w:t>表1- 4</w:t>
            </w:r>
            <w:r>
              <w:rPr>
                <w:color w:val="auto"/>
              </w:rPr>
              <w:fldChar w:fldCharType="end"/>
            </w:r>
            <w:r>
              <w:rPr>
                <w:color w:val="auto"/>
              </w:rPr>
              <w:t>可知，本项目符合《宿迁市“三线一单”生态环境分区管控实施方案》（宿环发〔2020〕78号）文件的相关管控要求。</w:t>
            </w:r>
          </w:p>
          <w:p w14:paraId="0D8F5B4B">
            <w:pPr>
              <w:pStyle w:val="47"/>
              <w:ind w:firstLine="482"/>
              <w:rPr>
                <w:b/>
                <w:bCs/>
                <w:color w:val="auto"/>
              </w:rPr>
            </w:pPr>
            <w:r>
              <w:rPr>
                <w:b/>
                <w:bCs/>
                <w:color w:val="auto"/>
              </w:rPr>
              <w:t>②与</w:t>
            </w:r>
            <w:r>
              <w:rPr>
                <w:rFonts w:hint="eastAsia"/>
                <w:b/>
                <w:bCs/>
                <w:color w:val="auto"/>
              </w:rPr>
              <w:t>泗阳县新袁镇工业园区</w:t>
            </w:r>
            <w:r>
              <w:rPr>
                <w:b/>
                <w:bCs/>
                <w:color w:val="auto"/>
                <w:szCs w:val="24"/>
              </w:rPr>
              <w:t>生态环境准入清单</w:t>
            </w:r>
            <w:r>
              <w:rPr>
                <w:b/>
                <w:bCs/>
                <w:color w:val="auto"/>
              </w:rPr>
              <w:t>相符性分析</w:t>
            </w:r>
          </w:p>
          <w:p w14:paraId="6021263E">
            <w:pPr>
              <w:pStyle w:val="47"/>
              <w:ind w:firstLine="480"/>
              <w:rPr>
                <w:color w:val="auto"/>
              </w:rPr>
            </w:pPr>
            <w:r>
              <w:rPr>
                <w:color w:val="auto"/>
              </w:rPr>
              <w:t>根据《</w:t>
            </w:r>
            <w:r>
              <w:rPr>
                <w:rFonts w:hint="eastAsia" w:eastAsiaTheme="minorEastAsia"/>
                <w:color w:val="auto"/>
              </w:rPr>
              <w:t>泗阳县新袁镇工业园区开发建设规划环境影响报告书</w:t>
            </w:r>
            <w:r>
              <w:rPr>
                <w:color w:val="auto"/>
              </w:rPr>
              <w:t>》“生态环境准入清单”要求，本项目相符性见</w:t>
            </w:r>
            <w:r>
              <w:rPr>
                <w:color w:val="auto"/>
              </w:rPr>
              <w:fldChar w:fldCharType="begin"/>
            </w:r>
            <w:r>
              <w:rPr>
                <w:color w:val="auto"/>
              </w:rPr>
              <w:instrText xml:space="preserve"> REF _Ref28114 \h </w:instrText>
            </w:r>
            <w:r>
              <w:rPr>
                <w:color w:val="auto"/>
              </w:rPr>
              <w:fldChar w:fldCharType="separate"/>
            </w:r>
            <w:r>
              <w:rPr>
                <w:color w:val="auto"/>
              </w:rPr>
              <w:t>表1- 5</w:t>
            </w:r>
            <w:r>
              <w:rPr>
                <w:color w:val="auto"/>
              </w:rPr>
              <w:fldChar w:fldCharType="end"/>
            </w:r>
            <w:r>
              <w:rPr>
                <w:color w:val="auto"/>
              </w:rPr>
              <w:t>。</w:t>
            </w:r>
          </w:p>
          <w:p w14:paraId="759628E4">
            <w:pPr>
              <w:pStyle w:val="7"/>
              <w:rPr>
                <w:color w:val="auto"/>
              </w:rPr>
            </w:pPr>
            <w:bookmarkStart w:id="10" w:name="_Ref28114"/>
            <w:r>
              <w:rPr>
                <w:color w:val="auto"/>
              </w:rPr>
              <w:t xml:space="preserve">表1- </w:t>
            </w:r>
            <w:r>
              <w:rPr>
                <w:color w:val="auto"/>
              </w:rPr>
              <w:fldChar w:fldCharType="begin"/>
            </w:r>
            <w:r>
              <w:rPr>
                <w:color w:val="auto"/>
              </w:rPr>
              <w:instrText xml:space="preserve"> SEQ 表1- \* ARABIC </w:instrText>
            </w:r>
            <w:r>
              <w:rPr>
                <w:color w:val="auto"/>
              </w:rPr>
              <w:fldChar w:fldCharType="separate"/>
            </w:r>
            <w:r>
              <w:rPr>
                <w:color w:val="auto"/>
              </w:rPr>
              <w:t>5</w:t>
            </w:r>
            <w:r>
              <w:rPr>
                <w:color w:val="auto"/>
              </w:rPr>
              <w:fldChar w:fldCharType="end"/>
            </w:r>
            <w:bookmarkEnd w:id="10"/>
            <w:r>
              <w:rPr>
                <w:color w:val="auto"/>
              </w:rPr>
              <w:t xml:space="preserve"> 项目与</w:t>
            </w:r>
            <w:r>
              <w:rPr>
                <w:rFonts w:hint="eastAsia"/>
                <w:color w:val="auto"/>
              </w:rPr>
              <w:t>泗阳县新袁镇工业园区</w:t>
            </w:r>
            <w:r>
              <w:rPr>
                <w:color w:val="auto"/>
              </w:rPr>
              <w:t>生态环境准入清单相符性分析</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764"/>
              <w:gridCol w:w="3009"/>
              <w:gridCol w:w="651"/>
            </w:tblGrid>
            <w:tr w14:paraId="04BD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14:paraId="3179EBD9">
                  <w:pPr>
                    <w:pStyle w:val="49"/>
                    <w:rPr>
                      <w:color w:val="auto"/>
                    </w:rPr>
                  </w:pPr>
                  <w:r>
                    <w:rPr>
                      <w:rFonts w:hint="eastAsia"/>
                      <w:color w:val="auto"/>
                    </w:rPr>
                    <w:t>类别</w:t>
                  </w:r>
                </w:p>
              </w:tc>
              <w:tc>
                <w:tcPr>
                  <w:tcW w:w="3764" w:type="dxa"/>
                  <w:vAlign w:val="center"/>
                </w:tcPr>
                <w:p w14:paraId="1C424C45">
                  <w:pPr>
                    <w:pStyle w:val="49"/>
                    <w:rPr>
                      <w:color w:val="auto"/>
                    </w:rPr>
                  </w:pPr>
                  <w:r>
                    <w:rPr>
                      <w:rFonts w:hint="eastAsia"/>
                      <w:color w:val="auto"/>
                    </w:rPr>
                    <w:t>控制要求</w:t>
                  </w:r>
                </w:p>
              </w:tc>
              <w:tc>
                <w:tcPr>
                  <w:tcW w:w="3009" w:type="dxa"/>
                  <w:vAlign w:val="center"/>
                </w:tcPr>
                <w:p w14:paraId="533EC25C">
                  <w:pPr>
                    <w:pStyle w:val="49"/>
                    <w:rPr>
                      <w:color w:val="auto"/>
                    </w:rPr>
                  </w:pPr>
                  <w:r>
                    <w:rPr>
                      <w:rFonts w:hint="eastAsia"/>
                      <w:color w:val="auto"/>
                    </w:rPr>
                    <w:t>本项目情况</w:t>
                  </w:r>
                </w:p>
              </w:tc>
              <w:tc>
                <w:tcPr>
                  <w:tcW w:w="651" w:type="dxa"/>
                  <w:vAlign w:val="center"/>
                </w:tcPr>
                <w:p w14:paraId="7E13808D">
                  <w:pPr>
                    <w:pStyle w:val="49"/>
                    <w:rPr>
                      <w:color w:val="auto"/>
                    </w:rPr>
                  </w:pPr>
                  <w:r>
                    <w:rPr>
                      <w:color w:val="auto"/>
                    </w:rPr>
                    <w:t>相符性</w:t>
                  </w:r>
                </w:p>
              </w:tc>
            </w:tr>
            <w:tr w14:paraId="35D7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14:paraId="14ADD259">
                  <w:pPr>
                    <w:pStyle w:val="51"/>
                    <w:rPr>
                      <w:color w:val="auto"/>
                    </w:rPr>
                  </w:pPr>
                  <w:r>
                    <w:rPr>
                      <w:rFonts w:hint="eastAsia"/>
                      <w:color w:val="auto"/>
                    </w:rPr>
                    <w:t>产业定位</w:t>
                  </w:r>
                </w:p>
              </w:tc>
              <w:tc>
                <w:tcPr>
                  <w:tcW w:w="3764" w:type="dxa"/>
                  <w:vAlign w:val="center"/>
                </w:tcPr>
                <w:p w14:paraId="5B8D500C">
                  <w:pPr>
                    <w:pStyle w:val="51"/>
                    <w:jc w:val="both"/>
                    <w:rPr>
                      <w:color w:val="auto"/>
                    </w:rPr>
                  </w:pPr>
                  <w:r>
                    <w:rPr>
                      <w:color w:val="auto"/>
                    </w:rPr>
                    <w:t>化纤织造、机械加工、食品饮料（不含发酵）及其他无污染和低污染项目。</w:t>
                  </w:r>
                </w:p>
              </w:tc>
              <w:tc>
                <w:tcPr>
                  <w:tcW w:w="3009" w:type="dxa"/>
                  <w:vMerge w:val="restart"/>
                  <w:vAlign w:val="center"/>
                </w:tcPr>
                <w:p w14:paraId="2638EE9B">
                  <w:pPr>
                    <w:pStyle w:val="51"/>
                    <w:rPr>
                      <w:color w:val="auto"/>
                    </w:rPr>
                  </w:pPr>
                  <w:r>
                    <w:rPr>
                      <w:rFonts w:hint="eastAsia"/>
                      <w:color w:val="auto"/>
                    </w:rPr>
                    <w:t>本项目为化纤面料生产项目，属于园区产业定位中的化纤织造项目。</w:t>
                  </w:r>
                </w:p>
              </w:tc>
              <w:tc>
                <w:tcPr>
                  <w:tcW w:w="651" w:type="dxa"/>
                  <w:vAlign w:val="center"/>
                </w:tcPr>
                <w:p w14:paraId="71652965">
                  <w:pPr>
                    <w:pStyle w:val="51"/>
                    <w:rPr>
                      <w:color w:val="auto"/>
                    </w:rPr>
                  </w:pPr>
                  <w:r>
                    <w:rPr>
                      <w:rFonts w:hint="eastAsia"/>
                      <w:color w:val="auto"/>
                    </w:rPr>
                    <w:t>符合</w:t>
                  </w:r>
                </w:p>
              </w:tc>
            </w:tr>
            <w:tr w14:paraId="0E72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697" w:type="dxa"/>
                  <w:vAlign w:val="center"/>
                </w:tcPr>
                <w:p w14:paraId="0CE589F5">
                  <w:pPr>
                    <w:pStyle w:val="51"/>
                    <w:rPr>
                      <w:color w:val="auto"/>
                    </w:rPr>
                  </w:pPr>
                  <w:r>
                    <w:rPr>
                      <w:rFonts w:hint="eastAsia"/>
                      <w:color w:val="auto"/>
                    </w:rPr>
                    <w:t>优先引入类项目</w:t>
                  </w:r>
                </w:p>
              </w:tc>
              <w:tc>
                <w:tcPr>
                  <w:tcW w:w="3764" w:type="dxa"/>
                  <w:vAlign w:val="center"/>
                </w:tcPr>
                <w:p w14:paraId="72913447">
                  <w:pPr>
                    <w:pStyle w:val="51"/>
                    <w:jc w:val="both"/>
                    <w:rPr>
                      <w:color w:val="auto"/>
                    </w:rPr>
                  </w:pPr>
                  <w:r>
                    <w:rPr>
                      <w:color w:val="auto"/>
                    </w:rPr>
                    <w:t>1、科技含量高、产品附加值高的项目；</w:t>
                  </w:r>
                </w:p>
                <w:p w14:paraId="6B83191A">
                  <w:pPr>
                    <w:pStyle w:val="51"/>
                    <w:jc w:val="both"/>
                    <w:rPr>
                      <w:color w:val="auto"/>
                    </w:rPr>
                  </w:pPr>
                  <w:r>
                    <w:rPr>
                      <w:color w:val="auto"/>
                    </w:rPr>
                    <w:t>2、符合园区产业定位且属于《产业结构调整指导目录（2019年本）》（2021年修订）、《鼓励外商投资产业目录（2022年版）</w:t>
                  </w:r>
                  <w:r>
                    <w:rPr>
                      <w:rFonts w:hint="eastAsia"/>
                      <w:color w:val="auto"/>
                    </w:rPr>
                    <w:t>》、《</w:t>
                  </w:r>
                  <w:r>
                    <w:rPr>
                      <w:color w:val="auto"/>
                    </w:rPr>
                    <w:t>产业发展与转移指导目录（2018年本）》中的鼓励类或者优先承接发展的产业项目；</w:t>
                  </w:r>
                </w:p>
                <w:p w14:paraId="25DFE909">
                  <w:pPr>
                    <w:pStyle w:val="51"/>
                    <w:jc w:val="both"/>
                    <w:rPr>
                      <w:color w:val="auto"/>
                    </w:rPr>
                  </w:pPr>
                  <w:r>
                    <w:rPr>
                      <w:color w:val="auto"/>
                    </w:rPr>
                    <w:t>3、鼓励依托园区内主导产业发展上下游关联度强、技术水平高、绿色安全环保的项目，进一步补链、强链、延链；</w:t>
                  </w:r>
                </w:p>
                <w:p w14:paraId="49E46EA8">
                  <w:pPr>
                    <w:pStyle w:val="51"/>
                    <w:jc w:val="both"/>
                    <w:rPr>
                      <w:color w:val="auto"/>
                    </w:rPr>
                  </w:pPr>
                  <w:r>
                    <w:rPr>
                      <w:color w:val="auto"/>
                    </w:rPr>
                    <w:t>4、拟采用的生产工艺、污染治理技术、清洁生产水平达到国际先进水平的项目。</w:t>
                  </w:r>
                </w:p>
              </w:tc>
              <w:tc>
                <w:tcPr>
                  <w:tcW w:w="3009" w:type="dxa"/>
                  <w:vMerge w:val="continue"/>
                  <w:vAlign w:val="center"/>
                </w:tcPr>
                <w:p w14:paraId="548BEFF2">
                  <w:pPr>
                    <w:pStyle w:val="51"/>
                    <w:rPr>
                      <w:color w:val="auto"/>
                      <w:lang w:val="zh-CN"/>
                    </w:rPr>
                  </w:pPr>
                </w:p>
              </w:tc>
              <w:tc>
                <w:tcPr>
                  <w:tcW w:w="651" w:type="dxa"/>
                  <w:vAlign w:val="center"/>
                </w:tcPr>
                <w:p w14:paraId="7A7AC2D5">
                  <w:pPr>
                    <w:pStyle w:val="51"/>
                    <w:rPr>
                      <w:color w:val="auto"/>
                      <w:lang w:val="zh-CN"/>
                    </w:rPr>
                  </w:pPr>
                  <w:r>
                    <w:rPr>
                      <w:rFonts w:hint="eastAsia"/>
                      <w:color w:val="auto"/>
                    </w:rPr>
                    <w:t>符合</w:t>
                  </w:r>
                </w:p>
              </w:tc>
            </w:tr>
            <w:tr w14:paraId="7F50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97" w:type="dxa"/>
                  <w:vAlign w:val="center"/>
                </w:tcPr>
                <w:p w14:paraId="1E288472">
                  <w:pPr>
                    <w:pStyle w:val="51"/>
                    <w:rPr>
                      <w:color w:val="auto"/>
                    </w:rPr>
                  </w:pPr>
                  <w:r>
                    <w:rPr>
                      <w:rFonts w:hint="eastAsia"/>
                      <w:color w:val="auto"/>
                    </w:rPr>
                    <w:t>禁止引入类项目</w:t>
                  </w:r>
                </w:p>
              </w:tc>
              <w:tc>
                <w:tcPr>
                  <w:tcW w:w="3764" w:type="dxa"/>
                  <w:vAlign w:val="center"/>
                </w:tcPr>
                <w:p w14:paraId="06B41F76">
                  <w:pPr>
                    <w:pStyle w:val="51"/>
                    <w:jc w:val="both"/>
                    <w:rPr>
                      <w:color w:val="auto"/>
                    </w:rPr>
                  </w:pPr>
                  <w:r>
                    <w:rPr>
                      <w:color w:val="auto"/>
                    </w:rPr>
                    <w:t>1、污染严重的与园区主导产业不相符项目。</w:t>
                  </w:r>
                </w:p>
                <w:p w14:paraId="0157CB10">
                  <w:pPr>
                    <w:pStyle w:val="51"/>
                    <w:jc w:val="both"/>
                    <w:rPr>
                      <w:color w:val="auto"/>
                    </w:rPr>
                  </w:pPr>
                  <w:r>
                    <w:rPr>
                      <w:color w:val="auto"/>
                    </w:rPr>
                    <w:t>2、新建产生或排放放射性物质的项目。</w:t>
                  </w:r>
                </w:p>
                <w:p w14:paraId="188148D9">
                  <w:pPr>
                    <w:pStyle w:val="51"/>
                    <w:jc w:val="both"/>
                    <w:rPr>
                      <w:color w:val="auto"/>
                    </w:rPr>
                  </w:pPr>
                  <w:r>
                    <w:rPr>
                      <w:color w:val="auto"/>
                    </w:rPr>
                    <w:t>3、新建废水含难降解有机物或工艺废气中含三致、有毒有害物质无法达标排放的项目。</w:t>
                  </w:r>
                </w:p>
                <w:p w14:paraId="79479554">
                  <w:pPr>
                    <w:pStyle w:val="51"/>
                    <w:jc w:val="both"/>
                    <w:rPr>
                      <w:color w:val="auto"/>
                    </w:rPr>
                  </w:pPr>
                  <w:r>
                    <w:rPr>
                      <w:color w:val="auto"/>
                    </w:rPr>
                    <w:t>4、新建产生的危险废物无法妥善处置的项目。</w:t>
                  </w:r>
                </w:p>
                <w:p w14:paraId="2187469E">
                  <w:pPr>
                    <w:pStyle w:val="51"/>
                    <w:jc w:val="both"/>
                    <w:rPr>
                      <w:color w:val="auto"/>
                    </w:rPr>
                  </w:pPr>
                  <w:r>
                    <w:rPr>
                      <w:rFonts w:hint="eastAsia"/>
                      <w:color w:val="auto"/>
                    </w:rPr>
                    <w:t>5</w:t>
                  </w:r>
                  <w:r>
                    <w:rPr>
                      <w:color w:val="auto"/>
                    </w:rPr>
                    <w:t>、新建环境保护综合名录所列高污染、高环境风险产品生产的项目。</w:t>
                  </w:r>
                </w:p>
                <w:p w14:paraId="60CC51F5">
                  <w:pPr>
                    <w:pStyle w:val="51"/>
                    <w:jc w:val="both"/>
                    <w:rPr>
                      <w:color w:val="auto"/>
                    </w:rPr>
                  </w:pPr>
                  <w:r>
                    <w:rPr>
                      <w:color w:val="auto"/>
                    </w:rPr>
                    <w:t>6、新建对规划区外生态红线保护区域产生明显不良环境和生态影响的项目。</w:t>
                  </w:r>
                </w:p>
                <w:p w14:paraId="0407D768">
                  <w:pPr>
                    <w:pStyle w:val="51"/>
                    <w:jc w:val="both"/>
                    <w:rPr>
                      <w:color w:val="auto"/>
                    </w:rPr>
                  </w:pPr>
                  <w:r>
                    <w:rPr>
                      <w:color w:val="auto"/>
                    </w:rPr>
                    <w:t>7、建设生产和使用不符合《胶粘剂挥发性有机化合物限量》（GB 33372-2020）、《油墨中可挥发性有机化合物（VOCs）含量的限值》（GB 380507-2020）、《低挥发性有机化合物含量涂料产品技术要求》（GB</w:t>
                  </w:r>
                  <w:r>
                    <w:rPr>
                      <w:rFonts w:hint="eastAsia"/>
                      <w:color w:val="auto"/>
                    </w:rPr>
                    <w:t xml:space="preserve"> </w:t>
                  </w:r>
                  <w:r>
                    <w:rPr>
                      <w:color w:val="auto"/>
                    </w:rPr>
                    <w:t>/T38597-2020）等相关文件要求的高VOCs含量溶剂型涂料、油墨、胶粘剂等项目。</w:t>
                  </w:r>
                </w:p>
                <w:p w14:paraId="46355D2D">
                  <w:pPr>
                    <w:pStyle w:val="51"/>
                    <w:jc w:val="both"/>
                    <w:rPr>
                      <w:color w:val="auto"/>
                    </w:rPr>
                  </w:pPr>
                  <w:r>
                    <w:rPr>
                      <w:color w:val="auto"/>
                    </w:rPr>
                    <w:t>8、新建、扩建燃用高污染燃料的项目和设施，已建成的应逐步或依法限期改用天然气、电或者其他清洁能源。采用落后的生产工艺或生产设备，高水耗、高物耗、高能耗，清洁生产低于国家清洁生产先进水平或行业先进水平的项目。</w:t>
                  </w:r>
                </w:p>
                <w:p w14:paraId="5FB2D441">
                  <w:pPr>
                    <w:pStyle w:val="51"/>
                    <w:jc w:val="both"/>
                    <w:rPr>
                      <w:color w:val="auto"/>
                    </w:rPr>
                  </w:pPr>
                  <w:r>
                    <w:rPr>
                      <w:color w:val="auto"/>
                    </w:rPr>
                    <w:t>9、涉及《危险化学品目录》所列剧毒物质排放的项目。</w:t>
                  </w:r>
                </w:p>
                <w:p w14:paraId="4B3A9193">
                  <w:pPr>
                    <w:pStyle w:val="51"/>
                    <w:jc w:val="both"/>
                    <w:rPr>
                      <w:color w:val="auto"/>
                    </w:rPr>
                  </w:pPr>
                  <w:r>
                    <w:rPr>
                      <w:color w:val="auto"/>
                    </w:rPr>
                    <w:t>10、新建、改扩建产生高污染印染废水排放的化纤织造项目。</w:t>
                  </w:r>
                </w:p>
              </w:tc>
              <w:tc>
                <w:tcPr>
                  <w:tcW w:w="3009" w:type="dxa"/>
                  <w:vAlign w:val="center"/>
                </w:tcPr>
                <w:p w14:paraId="07183A3C">
                  <w:pPr>
                    <w:pStyle w:val="51"/>
                    <w:rPr>
                      <w:color w:val="auto"/>
                    </w:rPr>
                  </w:pPr>
                  <w:r>
                    <w:rPr>
                      <w:rFonts w:hint="eastAsia"/>
                      <w:color w:val="auto"/>
                    </w:rPr>
                    <w:t>本项目不属于所列禁止引入类项目。</w:t>
                  </w:r>
                </w:p>
              </w:tc>
              <w:tc>
                <w:tcPr>
                  <w:tcW w:w="651" w:type="dxa"/>
                  <w:vAlign w:val="center"/>
                </w:tcPr>
                <w:p w14:paraId="5CDD00A4">
                  <w:pPr>
                    <w:pStyle w:val="51"/>
                    <w:rPr>
                      <w:color w:val="auto"/>
                      <w:lang w:val="zh-CN"/>
                    </w:rPr>
                  </w:pPr>
                  <w:r>
                    <w:rPr>
                      <w:rFonts w:hint="eastAsia"/>
                      <w:color w:val="auto"/>
                    </w:rPr>
                    <w:t>符合</w:t>
                  </w:r>
                </w:p>
              </w:tc>
            </w:tr>
            <w:tr w14:paraId="18D5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697" w:type="dxa"/>
                  <w:vAlign w:val="center"/>
                </w:tcPr>
                <w:p w14:paraId="3CFEF57E">
                  <w:pPr>
                    <w:pStyle w:val="51"/>
                    <w:rPr>
                      <w:color w:val="auto"/>
                    </w:rPr>
                  </w:pPr>
                  <w:r>
                    <w:rPr>
                      <w:rFonts w:hint="eastAsia"/>
                      <w:color w:val="auto"/>
                    </w:rPr>
                    <w:t>限制引入类项目</w:t>
                  </w:r>
                </w:p>
              </w:tc>
              <w:tc>
                <w:tcPr>
                  <w:tcW w:w="3764" w:type="dxa"/>
                  <w:vAlign w:val="center"/>
                </w:tcPr>
                <w:p w14:paraId="207A759D">
                  <w:pPr>
                    <w:pStyle w:val="51"/>
                    <w:rPr>
                      <w:color w:val="auto"/>
                    </w:rPr>
                  </w:pPr>
                  <w:r>
                    <w:rPr>
                      <w:color w:val="auto"/>
                    </w:rPr>
                    <w:t>限制引入《产业结构调整指导目录（2019年本）》（2021年修订）中的化纤制造、机械加工、食品饮料行业限制类项目</w:t>
                  </w:r>
                </w:p>
              </w:tc>
              <w:tc>
                <w:tcPr>
                  <w:tcW w:w="3009" w:type="dxa"/>
                  <w:vAlign w:val="center"/>
                </w:tcPr>
                <w:p w14:paraId="5F8EE207">
                  <w:pPr>
                    <w:pStyle w:val="51"/>
                    <w:rPr>
                      <w:color w:val="auto"/>
                      <w:lang w:val="zh-CN"/>
                    </w:rPr>
                  </w:pPr>
                  <w:r>
                    <w:rPr>
                      <w:rFonts w:hint="eastAsia"/>
                      <w:color w:val="auto"/>
                    </w:rPr>
                    <w:t>对照《产业结构调整指导目录（2024年本）》，本项目喷水织机</w:t>
                  </w:r>
                  <w:r>
                    <w:rPr>
                      <w:color w:val="auto"/>
                    </w:rPr>
                    <w:t>入纬率</w:t>
                  </w:r>
                  <w:r>
                    <w:rPr>
                      <w:rFonts w:hint="eastAsia"/>
                      <w:color w:val="auto"/>
                    </w:rPr>
                    <w:t>为1140~2040m/min，不</w:t>
                  </w:r>
                  <w:r>
                    <w:rPr>
                      <w:color w:val="auto"/>
                    </w:rPr>
                    <w:t>小于900</w:t>
                  </w:r>
                  <w:r>
                    <w:rPr>
                      <w:rFonts w:hint="eastAsia"/>
                      <w:color w:val="auto"/>
                    </w:rPr>
                    <w:t>m/min，则本项目不属于限制引用类项目。</w:t>
                  </w:r>
                </w:p>
              </w:tc>
              <w:tc>
                <w:tcPr>
                  <w:tcW w:w="651" w:type="dxa"/>
                  <w:vAlign w:val="center"/>
                </w:tcPr>
                <w:p w14:paraId="272B7C0B">
                  <w:pPr>
                    <w:pStyle w:val="51"/>
                    <w:rPr>
                      <w:color w:val="auto"/>
                      <w:lang w:val="zh-CN"/>
                    </w:rPr>
                  </w:pPr>
                  <w:r>
                    <w:rPr>
                      <w:rFonts w:hint="eastAsia"/>
                      <w:color w:val="auto"/>
                    </w:rPr>
                    <w:t>符合</w:t>
                  </w:r>
                </w:p>
              </w:tc>
            </w:tr>
            <w:tr w14:paraId="0008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Merge w:val="restart"/>
                  <w:vAlign w:val="center"/>
                </w:tcPr>
                <w:p w14:paraId="7BD4A60C">
                  <w:pPr>
                    <w:pStyle w:val="51"/>
                    <w:rPr>
                      <w:color w:val="auto"/>
                    </w:rPr>
                  </w:pPr>
                  <w:r>
                    <w:rPr>
                      <w:rFonts w:hint="eastAsia"/>
                      <w:color w:val="auto"/>
                    </w:rPr>
                    <w:t>空间管控要求控制</w:t>
                  </w:r>
                </w:p>
              </w:tc>
              <w:tc>
                <w:tcPr>
                  <w:tcW w:w="3764" w:type="dxa"/>
                  <w:vAlign w:val="center"/>
                </w:tcPr>
                <w:p w14:paraId="10F83287">
                  <w:pPr>
                    <w:pStyle w:val="51"/>
                    <w:rPr>
                      <w:color w:val="auto"/>
                    </w:rPr>
                  </w:pPr>
                  <w:r>
                    <w:rPr>
                      <w:rFonts w:hint="eastAsia"/>
                      <w:color w:val="auto"/>
                    </w:rPr>
                    <w:t>1、</w:t>
                  </w:r>
                  <w:r>
                    <w:rPr>
                      <w:color w:val="auto"/>
                    </w:rPr>
                    <w:t>禁止开发利用规划区内的水域、河流和绿地，严格限制转变为其他用地性质；</w:t>
                  </w:r>
                </w:p>
              </w:tc>
              <w:tc>
                <w:tcPr>
                  <w:tcW w:w="3009" w:type="dxa"/>
                  <w:vAlign w:val="center"/>
                </w:tcPr>
                <w:p w14:paraId="5EAFBC36">
                  <w:pPr>
                    <w:pStyle w:val="51"/>
                    <w:rPr>
                      <w:color w:val="auto"/>
                    </w:rPr>
                  </w:pPr>
                  <w:r>
                    <w:rPr>
                      <w:rFonts w:hint="eastAsia"/>
                      <w:color w:val="auto"/>
                    </w:rPr>
                    <w:t>本项目位于</w:t>
                  </w:r>
                  <w:bookmarkStart w:id="11" w:name="OLE_LINK11"/>
                  <w:r>
                    <w:rPr>
                      <w:rFonts w:hint="eastAsia"/>
                      <w:color w:val="auto"/>
                    </w:rPr>
                    <w:t>江苏省宿迁市</w:t>
                  </w:r>
                  <w:bookmarkStart w:id="12" w:name="OLE_LINK2"/>
                  <w:r>
                    <w:rPr>
                      <w:rFonts w:hint="eastAsia"/>
                      <w:color w:val="auto"/>
                    </w:rPr>
                    <w:t>泗阳县新袁镇广州路28号</w:t>
                  </w:r>
                  <w:bookmarkEnd w:id="11"/>
                  <w:bookmarkEnd w:id="12"/>
                  <w:r>
                    <w:rPr>
                      <w:rFonts w:hint="eastAsia"/>
                      <w:color w:val="auto"/>
                    </w:rPr>
                    <w:t>，位于新袁镇工业园区的工业用地和工业发展备用地规划范围内，不属于禁止开发用地，也未转变用地性质。</w:t>
                  </w:r>
                </w:p>
              </w:tc>
              <w:tc>
                <w:tcPr>
                  <w:tcW w:w="651" w:type="dxa"/>
                  <w:vAlign w:val="center"/>
                </w:tcPr>
                <w:p w14:paraId="11E086D5">
                  <w:pPr>
                    <w:pStyle w:val="51"/>
                    <w:rPr>
                      <w:color w:val="auto"/>
                      <w:lang w:val="zh-CN"/>
                    </w:rPr>
                  </w:pPr>
                  <w:r>
                    <w:rPr>
                      <w:rFonts w:hint="eastAsia"/>
                      <w:color w:val="auto"/>
                    </w:rPr>
                    <w:t>符合</w:t>
                  </w:r>
                </w:p>
              </w:tc>
            </w:tr>
            <w:tr w14:paraId="3801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Merge w:val="continue"/>
                  <w:vAlign w:val="center"/>
                </w:tcPr>
                <w:p w14:paraId="62E42E3C">
                  <w:pPr>
                    <w:pStyle w:val="51"/>
                    <w:rPr>
                      <w:color w:val="auto"/>
                    </w:rPr>
                  </w:pPr>
                </w:p>
              </w:tc>
              <w:tc>
                <w:tcPr>
                  <w:tcW w:w="3764" w:type="dxa"/>
                  <w:vAlign w:val="center"/>
                </w:tcPr>
                <w:p w14:paraId="6D0824F3">
                  <w:pPr>
                    <w:pStyle w:val="51"/>
                    <w:rPr>
                      <w:color w:val="auto"/>
                    </w:rPr>
                  </w:pPr>
                  <w:r>
                    <w:rPr>
                      <w:rFonts w:hint="eastAsia"/>
                      <w:color w:val="auto"/>
                    </w:rPr>
                    <w:t>2、</w:t>
                  </w:r>
                  <w:r>
                    <w:rPr>
                      <w:color w:val="auto"/>
                    </w:rPr>
                    <w:t>规划范围内土地利用需要严格按照要求对有条件、限制建设区实施开发，不符合规划的部分，需取得用地指标后方可开发利用。对于占用一般农用地，需按照“占一补一”的原则进行占补平衡，且需取得自然资源和规划局相关手续后，方可进行开发建设。禁止占用基本农田。</w:t>
                  </w:r>
                </w:p>
              </w:tc>
              <w:tc>
                <w:tcPr>
                  <w:tcW w:w="3009" w:type="dxa"/>
                  <w:vAlign w:val="center"/>
                </w:tcPr>
                <w:p w14:paraId="7ABAF617">
                  <w:pPr>
                    <w:pStyle w:val="51"/>
                    <w:rPr>
                      <w:color w:val="auto"/>
                    </w:rPr>
                  </w:pPr>
                  <w:r>
                    <w:rPr>
                      <w:rFonts w:hint="eastAsia"/>
                      <w:color w:val="auto"/>
                    </w:rPr>
                    <w:t>本项目位于江苏省宿迁市泗阳县新袁镇广州路28号，位于新袁镇工业园区的工业用地和工业发展备用地规划范围内，未占用一般农用地、基本农田。</w:t>
                  </w:r>
                </w:p>
              </w:tc>
              <w:tc>
                <w:tcPr>
                  <w:tcW w:w="651" w:type="dxa"/>
                  <w:shd w:val="clear" w:color="auto" w:fill="auto"/>
                  <w:vAlign w:val="center"/>
                </w:tcPr>
                <w:p w14:paraId="1844760B">
                  <w:pPr>
                    <w:pStyle w:val="51"/>
                    <w:rPr>
                      <w:color w:val="auto"/>
                      <w:lang w:val="zh-CN"/>
                    </w:rPr>
                  </w:pPr>
                  <w:r>
                    <w:rPr>
                      <w:rFonts w:hint="eastAsia"/>
                      <w:color w:val="auto"/>
                    </w:rPr>
                    <w:t>符合</w:t>
                  </w:r>
                </w:p>
              </w:tc>
            </w:tr>
            <w:tr w14:paraId="1777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Merge w:val="continue"/>
                  <w:vAlign w:val="center"/>
                </w:tcPr>
                <w:p w14:paraId="3DBE24AD">
                  <w:pPr>
                    <w:pStyle w:val="51"/>
                    <w:rPr>
                      <w:color w:val="auto"/>
                    </w:rPr>
                  </w:pPr>
                </w:p>
              </w:tc>
              <w:tc>
                <w:tcPr>
                  <w:tcW w:w="3764" w:type="dxa"/>
                  <w:vAlign w:val="center"/>
                </w:tcPr>
                <w:p w14:paraId="3A56B42A">
                  <w:pPr>
                    <w:pStyle w:val="51"/>
                    <w:rPr>
                      <w:color w:val="auto"/>
                    </w:rPr>
                  </w:pPr>
                  <w:r>
                    <w:rPr>
                      <w:rFonts w:hint="eastAsia"/>
                      <w:color w:val="auto"/>
                    </w:rPr>
                    <w:t>3、</w:t>
                  </w:r>
                  <w:r>
                    <w:rPr>
                      <w:color w:val="auto"/>
                    </w:rPr>
                    <w:t>邻近工业用地的二类居住用地周边应设置不少于50米的空间防护距离。居住用地100m范围内不得布置排放恶臭气体的排放源。二类居住用地周边的生产型企业，应优化厂内布局，生产车间尽量远离居住用地。严格控制涉及恶臭异味物质、《有毒有害大气污染物名录》所列大气污染物、《危险化学品目录》所列剧毒物质排放的项目。公共管理与公共服务设施用地周边的生产型企业，应优化厂内布局，生产车间尽量远离公共管理与公共服务设施用地。办公区周边设置不少于10米的绿化带。商业服务业设施用地周边的生产型企业，应优化厂内布局，生产车间尽量远离公共管理与公共服务设施用地。商业用地周边设置不少于10米的绿化带。</w:t>
                  </w:r>
                </w:p>
              </w:tc>
              <w:tc>
                <w:tcPr>
                  <w:tcW w:w="3009" w:type="dxa"/>
                  <w:vAlign w:val="center"/>
                </w:tcPr>
                <w:p w14:paraId="6E3CD035">
                  <w:pPr>
                    <w:pStyle w:val="51"/>
                    <w:rPr>
                      <w:color w:val="auto"/>
                    </w:rPr>
                  </w:pPr>
                  <w:r>
                    <w:rPr>
                      <w:rFonts w:hint="eastAsia"/>
                      <w:color w:val="auto"/>
                    </w:rPr>
                    <w:t>本项目距离厂界100m范围内无居住用地、</w:t>
                  </w:r>
                  <w:r>
                    <w:rPr>
                      <w:color w:val="auto"/>
                    </w:rPr>
                    <w:t>公共管理与公共服务设施</w:t>
                  </w:r>
                  <w:r>
                    <w:rPr>
                      <w:rFonts w:hint="eastAsia"/>
                      <w:color w:val="auto"/>
                    </w:rPr>
                    <w:t>、</w:t>
                  </w:r>
                  <w:r>
                    <w:rPr>
                      <w:color w:val="auto"/>
                    </w:rPr>
                    <w:t>办公区</w:t>
                  </w:r>
                  <w:r>
                    <w:rPr>
                      <w:rFonts w:hint="eastAsia"/>
                      <w:color w:val="auto"/>
                    </w:rPr>
                    <w:t>、</w:t>
                  </w:r>
                  <w:r>
                    <w:rPr>
                      <w:color w:val="auto"/>
                    </w:rPr>
                    <w:t>商业服务业设施</w:t>
                  </w:r>
                  <w:r>
                    <w:rPr>
                      <w:rFonts w:hint="eastAsia"/>
                      <w:color w:val="auto"/>
                    </w:rPr>
                    <w:t>。</w:t>
                  </w:r>
                </w:p>
              </w:tc>
              <w:tc>
                <w:tcPr>
                  <w:tcW w:w="651" w:type="dxa"/>
                  <w:shd w:val="clear" w:color="auto" w:fill="auto"/>
                  <w:vAlign w:val="center"/>
                </w:tcPr>
                <w:p w14:paraId="78889900">
                  <w:pPr>
                    <w:pStyle w:val="51"/>
                    <w:rPr>
                      <w:color w:val="auto"/>
                      <w:lang w:val="zh-CN"/>
                    </w:rPr>
                  </w:pPr>
                  <w:r>
                    <w:rPr>
                      <w:rFonts w:hint="eastAsia"/>
                      <w:color w:val="auto"/>
                    </w:rPr>
                    <w:t>符合</w:t>
                  </w:r>
                </w:p>
              </w:tc>
            </w:tr>
            <w:tr w14:paraId="6CC7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Merge w:val="restart"/>
                  <w:vAlign w:val="center"/>
                </w:tcPr>
                <w:p w14:paraId="1EB4224C">
                  <w:pPr>
                    <w:pStyle w:val="51"/>
                    <w:rPr>
                      <w:color w:val="auto"/>
                    </w:rPr>
                  </w:pPr>
                  <w:r>
                    <w:rPr>
                      <w:rFonts w:hint="eastAsia"/>
                      <w:color w:val="auto"/>
                    </w:rPr>
                    <w:t>污染物排放管控</w:t>
                  </w:r>
                </w:p>
              </w:tc>
              <w:tc>
                <w:tcPr>
                  <w:tcW w:w="3764" w:type="dxa"/>
                  <w:vAlign w:val="center"/>
                </w:tcPr>
                <w:p w14:paraId="4B471F25">
                  <w:pPr>
                    <w:pStyle w:val="51"/>
                    <w:rPr>
                      <w:color w:val="auto"/>
                    </w:rPr>
                  </w:pPr>
                  <w:r>
                    <w:rPr>
                      <w:color w:val="auto"/>
                    </w:rPr>
                    <w:t>1、严格实施污染物总量控制制度，根据区域环境质量改善目标，采取有效措施减少主要染物排放总量，确保区域环境质量持续改善。</w:t>
                  </w:r>
                </w:p>
              </w:tc>
              <w:tc>
                <w:tcPr>
                  <w:tcW w:w="3009" w:type="dxa"/>
                  <w:vAlign w:val="center"/>
                </w:tcPr>
                <w:p w14:paraId="20C288F6">
                  <w:pPr>
                    <w:pStyle w:val="51"/>
                    <w:rPr>
                      <w:color w:val="auto"/>
                    </w:rPr>
                  </w:pPr>
                  <w:r>
                    <w:rPr>
                      <w:rFonts w:hint="eastAsia"/>
                      <w:color w:val="auto"/>
                    </w:rPr>
                    <w:t>本项目将严格</w:t>
                  </w:r>
                  <w:r>
                    <w:rPr>
                      <w:color w:val="auto"/>
                    </w:rPr>
                    <w:t>实施污染物总量控制制度</w:t>
                  </w:r>
                  <w:r>
                    <w:rPr>
                      <w:rFonts w:hint="eastAsia"/>
                      <w:color w:val="auto"/>
                    </w:rPr>
                    <w:t>，1~5#、6~10#、11~15#、16</w:t>
                  </w:r>
                  <w:r>
                    <w:rPr>
                      <w:rFonts w:hint="eastAsia"/>
                      <w:color w:val="auto"/>
                      <w:lang w:val="en-US" w:eastAsia="zh-CN"/>
                    </w:rPr>
                    <w:t>~</w:t>
                  </w:r>
                  <w:r>
                    <w:rPr>
                      <w:rFonts w:hint="eastAsia"/>
                      <w:color w:val="auto"/>
                    </w:rPr>
                    <w:t>20#加弹机产生的有机废气NMHC经自带管道收集后分别由1#~4#高压静电处理后通过4根15m排气筒（DA001~DA004）达标排放，危废仓库废气NMHC经负压风管收集后由1#高压静电油烟净化器处理后通过1根15m排气筒（DA001）达标排放，职工生活污水经厂区化粪池预处理后接管至新袁镇污水处理厂集中处理。经采取以上措施，可</w:t>
                  </w:r>
                  <w:r>
                    <w:rPr>
                      <w:color w:val="auto"/>
                    </w:rPr>
                    <w:t>减少主要染物排放总量</w:t>
                  </w:r>
                  <w:r>
                    <w:rPr>
                      <w:rFonts w:hint="eastAsia"/>
                      <w:color w:val="auto"/>
                    </w:rPr>
                    <w:t>，</w:t>
                  </w:r>
                  <w:r>
                    <w:rPr>
                      <w:color w:val="auto"/>
                    </w:rPr>
                    <w:t>确保区域环境质量持续改善</w:t>
                  </w:r>
                  <w:r>
                    <w:rPr>
                      <w:rFonts w:hint="eastAsia"/>
                      <w:color w:val="auto"/>
                    </w:rPr>
                    <w:t>。</w:t>
                  </w:r>
                </w:p>
              </w:tc>
              <w:tc>
                <w:tcPr>
                  <w:tcW w:w="651" w:type="dxa"/>
                  <w:vAlign w:val="center"/>
                </w:tcPr>
                <w:p w14:paraId="25AF1201">
                  <w:pPr>
                    <w:pStyle w:val="51"/>
                    <w:rPr>
                      <w:color w:val="auto"/>
                      <w:lang w:val="zh-CN"/>
                    </w:rPr>
                  </w:pPr>
                  <w:r>
                    <w:rPr>
                      <w:rFonts w:hint="eastAsia"/>
                      <w:color w:val="auto"/>
                    </w:rPr>
                    <w:t>符合</w:t>
                  </w:r>
                </w:p>
              </w:tc>
            </w:tr>
            <w:tr w14:paraId="0A6E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Merge w:val="continue"/>
                  <w:vAlign w:val="center"/>
                </w:tcPr>
                <w:p w14:paraId="5292FC36">
                  <w:pPr>
                    <w:pStyle w:val="51"/>
                    <w:rPr>
                      <w:color w:val="auto"/>
                    </w:rPr>
                  </w:pPr>
                </w:p>
              </w:tc>
              <w:tc>
                <w:tcPr>
                  <w:tcW w:w="3764" w:type="dxa"/>
                  <w:vAlign w:val="center"/>
                </w:tcPr>
                <w:p w14:paraId="083ADECF">
                  <w:pPr>
                    <w:pStyle w:val="51"/>
                    <w:rPr>
                      <w:color w:val="auto"/>
                    </w:rPr>
                  </w:pPr>
                  <w:r>
                    <w:rPr>
                      <w:color w:val="auto"/>
                    </w:rPr>
                    <w:t>2、规划期末，园区大气污染物：SO</w:t>
                  </w:r>
                  <w:r>
                    <w:rPr>
                      <w:color w:val="auto"/>
                      <w:vertAlign w:val="subscript"/>
                    </w:rPr>
                    <w:t>2</w:t>
                  </w:r>
                  <w:r>
                    <w:rPr>
                      <w:color w:val="auto"/>
                    </w:rPr>
                    <w:t>、NOx、颗粒物、非甲烷总烃排放量不得超过12.145吨/年、24.147吨/年、18.634吨/年、13.229吨/年。园区工业废水污染物（排放量）：废水量、COD、氨氮、总磷、总氮排放量不得超过910220吨/年、45.512吨/年、3.641吨/年、0.455吨/年、10.923吨/年。</w:t>
                  </w:r>
                </w:p>
              </w:tc>
              <w:tc>
                <w:tcPr>
                  <w:tcW w:w="3009" w:type="dxa"/>
                  <w:vAlign w:val="center"/>
                </w:tcPr>
                <w:p w14:paraId="5366A44F">
                  <w:pPr>
                    <w:pStyle w:val="51"/>
                    <w:rPr>
                      <w:color w:val="auto"/>
                    </w:rPr>
                  </w:pPr>
                  <w:r>
                    <w:rPr>
                      <w:rFonts w:hint="eastAsia"/>
                      <w:color w:val="auto"/>
                    </w:rPr>
                    <w:t>本项目废气：NMHC排放量为0.776t/a；</w:t>
                  </w:r>
                  <w:r>
                    <w:rPr>
                      <w:color w:val="auto"/>
                    </w:rPr>
                    <w:t>废水：接管考核量：废水量</w:t>
                  </w:r>
                  <w:r>
                    <w:rPr>
                      <w:rFonts w:hint="eastAsia"/>
                      <w:color w:val="auto"/>
                    </w:rPr>
                    <w:t>2400</w:t>
                  </w:r>
                  <w:r>
                    <w:rPr>
                      <w:color w:val="auto"/>
                    </w:rPr>
                    <w:t>m</w:t>
                  </w:r>
                  <w:r>
                    <w:rPr>
                      <w:color w:val="auto"/>
                      <w:vertAlign w:val="superscript"/>
                    </w:rPr>
                    <w:t>3</w:t>
                  </w:r>
                  <w:r>
                    <w:rPr>
                      <w:color w:val="auto"/>
                    </w:rPr>
                    <w:t>/a、COD</w:t>
                  </w:r>
                  <w:r>
                    <w:rPr>
                      <w:rFonts w:hint="eastAsia"/>
                      <w:color w:val="auto"/>
                    </w:rPr>
                    <w:t>0.6720</w:t>
                  </w:r>
                  <w:r>
                    <w:rPr>
                      <w:color w:val="auto"/>
                    </w:rPr>
                    <w:t>t/a</w:t>
                  </w:r>
                  <w:r>
                    <w:rPr>
                      <w:rFonts w:hint="eastAsia"/>
                      <w:color w:val="auto"/>
                    </w:rPr>
                    <w:t>、</w:t>
                  </w:r>
                  <w:r>
                    <w:rPr>
                      <w:color w:val="auto"/>
                    </w:rPr>
                    <w:t>SS</w:t>
                  </w:r>
                  <w:r>
                    <w:rPr>
                      <w:rFonts w:hint="eastAsia"/>
                      <w:color w:val="auto"/>
                    </w:rPr>
                    <w:t>0.3600</w:t>
                  </w:r>
                  <w:r>
                    <w:rPr>
                      <w:color w:val="auto"/>
                    </w:rPr>
                    <w:t>t/a、氨氮</w:t>
                  </w:r>
                  <w:r>
                    <w:rPr>
                      <w:rFonts w:hint="eastAsia"/>
                      <w:color w:val="auto"/>
                    </w:rPr>
                    <w:t>0.0840</w:t>
                  </w:r>
                  <w:r>
                    <w:rPr>
                      <w:color w:val="auto"/>
                    </w:rPr>
                    <w:t>t/a、</w:t>
                  </w:r>
                  <w:r>
                    <w:rPr>
                      <w:rFonts w:hint="eastAsia"/>
                      <w:color w:val="auto"/>
                    </w:rPr>
                    <w:t>TP0.0072</w:t>
                  </w:r>
                  <w:r>
                    <w:rPr>
                      <w:color w:val="auto"/>
                    </w:rPr>
                    <w:t>t/a</w:t>
                  </w:r>
                  <w:r>
                    <w:rPr>
                      <w:rFonts w:hint="eastAsia"/>
                      <w:color w:val="auto"/>
                    </w:rPr>
                    <w:t>、TN0.1080</w:t>
                  </w:r>
                  <w:r>
                    <w:rPr>
                      <w:color w:val="auto"/>
                    </w:rPr>
                    <w:t>t/a；进入环境量：废水量</w:t>
                  </w:r>
                  <w:r>
                    <w:rPr>
                      <w:rFonts w:hint="eastAsia"/>
                      <w:color w:val="auto"/>
                    </w:rPr>
                    <w:t>2400</w:t>
                  </w:r>
                  <w:r>
                    <w:rPr>
                      <w:color w:val="auto"/>
                    </w:rPr>
                    <w:t>m</w:t>
                  </w:r>
                  <w:r>
                    <w:rPr>
                      <w:color w:val="auto"/>
                      <w:vertAlign w:val="superscript"/>
                    </w:rPr>
                    <w:t>3</w:t>
                  </w:r>
                  <w:r>
                    <w:rPr>
                      <w:color w:val="auto"/>
                    </w:rPr>
                    <w:t>/a、COD</w:t>
                  </w:r>
                  <w:r>
                    <w:rPr>
                      <w:rFonts w:hint="eastAsia"/>
                      <w:color w:val="auto"/>
                    </w:rPr>
                    <w:t>0.1200</w:t>
                  </w:r>
                  <w:r>
                    <w:rPr>
                      <w:color w:val="auto"/>
                    </w:rPr>
                    <w:t>t/a、SS</w:t>
                  </w:r>
                  <w:r>
                    <w:rPr>
                      <w:rFonts w:hint="eastAsia"/>
                      <w:color w:val="auto"/>
                    </w:rPr>
                    <w:t>0.0240</w:t>
                  </w:r>
                  <w:r>
                    <w:rPr>
                      <w:color w:val="auto"/>
                    </w:rPr>
                    <w:t>t/a、氨氮</w:t>
                  </w:r>
                  <w:r>
                    <w:rPr>
                      <w:rFonts w:hint="eastAsia"/>
                      <w:color w:val="auto"/>
                    </w:rPr>
                    <w:t>0.0120</w:t>
                  </w:r>
                  <w:r>
                    <w:rPr>
                      <w:color w:val="auto"/>
                    </w:rPr>
                    <w:t>t/a、</w:t>
                  </w:r>
                  <w:r>
                    <w:rPr>
                      <w:rFonts w:hint="eastAsia"/>
                      <w:color w:val="auto"/>
                    </w:rPr>
                    <w:t>TP0.0012</w:t>
                  </w:r>
                  <w:r>
                    <w:rPr>
                      <w:color w:val="auto"/>
                    </w:rPr>
                    <w:t>t/a</w:t>
                  </w:r>
                  <w:r>
                    <w:rPr>
                      <w:rFonts w:hint="eastAsia"/>
                      <w:color w:val="auto"/>
                    </w:rPr>
                    <w:t>、TN0.0360</w:t>
                  </w:r>
                  <w:r>
                    <w:rPr>
                      <w:color w:val="auto"/>
                    </w:rPr>
                    <w:t>t/a</w:t>
                  </w:r>
                  <w:r>
                    <w:rPr>
                      <w:rFonts w:hint="eastAsia"/>
                      <w:color w:val="auto"/>
                    </w:rPr>
                    <w:t>。</w:t>
                  </w:r>
                </w:p>
              </w:tc>
              <w:tc>
                <w:tcPr>
                  <w:tcW w:w="651" w:type="dxa"/>
                  <w:shd w:val="clear" w:color="auto" w:fill="auto"/>
                  <w:vAlign w:val="center"/>
                </w:tcPr>
                <w:p w14:paraId="3959BAAF">
                  <w:pPr>
                    <w:pStyle w:val="51"/>
                    <w:rPr>
                      <w:color w:val="auto"/>
                      <w:lang w:val="zh-CN"/>
                    </w:rPr>
                  </w:pPr>
                  <w:r>
                    <w:rPr>
                      <w:rFonts w:hint="eastAsia"/>
                      <w:color w:val="auto"/>
                    </w:rPr>
                    <w:t>符合</w:t>
                  </w:r>
                </w:p>
              </w:tc>
            </w:tr>
            <w:tr w14:paraId="7A50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Merge w:val="restart"/>
                  <w:vAlign w:val="center"/>
                </w:tcPr>
                <w:p w14:paraId="71F1450C">
                  <w:pPr>
                    <w:pStyle w:val="51"/>
                    <w:rPr>
                      <w:color w:val="auto"/>
                      <w:lang w:val="zh-CN"/>
                    </w:rPr>
                  </w:pPr>
                  <w:r>
                    <w:rPr>
                      <w:color w:val="auto"/>
                    </w:rPr>
                    <w:t>环境风险防控</w:t>
                  </w:r>
                </w:p>
              </w:tc>
              <w:tc>
                <w:tcPr>
                  <w:tcW w:w="3764" w:type="dxa"/>
                  <w:vAlign w:val="center"/>
                </w:tcPr>
                <w:p w14:paraId="08D7B8C7">
                  <w:pPr>
                    <w:pStyle w:val="51"/>
                    <w:rPr>
                      <w:color w:val="auto"/>
                    </w:rPr>
                  </w:pPr>
                  <w:r>
                    <w:rPr>
                      <w:color w:val="auto"/>
                    </w:rPr>
                    <w:t>1、园区建立环境应急体系，完善事故应急救援体系加强应急物资装备储备，修编突发环境事件应急预案，定期开展演练。</w:t>
                  </w:r>
                </w:p>
              </w:tc>
              <w:tc>
                <w:tcPr>
                  <w:tcW w:w="3009" w:type="dxa"/>
                  <w:vAlign w:val="center"/>
                </w:tcPr>
                <w:p w14:paraId="147C544E">
                  <w:pPr>
                    <w:pStyle w:val="51"/>
                    <w:rPr>
                      <w:color w:val="auto"/>
                      <w:lang w:val="zh-CN"/>
                    </w:rPr>
                  </w:pPr>
                  <w:r>
                    <w:rPr>
                      <w:rFonts w:hint="eastAsia"/>
                      <w:color w:val="auto"/>
                    </w:rPr>
                    <w:t>本</w:t>
                  </w:r>
                  <w:r>
                    <w:rPr>
                      <w:color w:val="auto"/>
                      <w:lang w:val="zh-CN"/>
                    </w:rPr>
                    <w:t>项目</w:t>
                  </w:r>
                  <w:r>
                    <w:rPr>
                      <w:rFonts w:hint="eastAsia"/>
                      <w:color w:val="auto"/>
                    </w:rPr>
                    <w:t>建成后将</w:t>
                  </w:r>
                  <w:r>
                    <w:rPr>
                      <w:color w:val="auto"/>
                      <w:lang w:val="zh-CN"/>
                    </w:rPr>
                    <w:t>制定并落实</w:t>
                  </w:r>
                  <w:r>
                    <w:rPr>
                      <w:rFonts w:hint="eastAsia"/>
                      <w:color w:val="auto"/>
                    </w:rPr>
                    <w:t>环境</w:t>
                  </w:r>
                  <w:r>
                    <w:rPr>
                      <w:color w:val="auto"/>
                      <w:lang w:val="zh-CN"/>
                    </w:rPr>
                    <w:t>风险防范措施</w:t>
                  </w:r>
                  <w:r>
                    <w:rPr>
                      <w:rFonts w:hint="eastAsia"/>
                      <w:color w:val="auto"/>
                      <w:lang w:val="zh-CN"/>
                    </w:rPr>
                    <w:t>，</w:t>
                  </w:r>
                  <w:r>
                    <w:rPr>
                      <w:color w:val="auto"/>
                    </w:rPr>
                    <w:t>完善事故应急救援体系加强应急物资装备储备</w:t>
                  </w:r>
                  <w:r>
                    <w:rPr>
                      <w:rFonts w:hint="eastAsia"/>
                      <w:color w:val="auto"/>
                    </w:rPr>
                    <w:t>，</w:t>
                  </w:r>
                  <w:r>
                    <w:rPr>
                      <w:color w:val="auto"/>
                      <w:lang w:val="zh-CN"/>
                    </w:rPr>
                    <w:t>并定期演练</w:t>
                  </w:r>
                  <w:r>
                    <w:rPr>
                      <w:rFonts w:hint="eastAsia"/>
                      <w:color w:val="auto"/>
                      <w:lang w:val="zh-CN"/>
                    </w:rPr>
                    <w:t>。</w:t>
                  </w:r>
                </w:p>
              </w:tc>
              <w:tc>
                <w:tcPr>
                  <w:tcW w:w="651" w:type="dxa"/>
                  <w:vAlign w:val="center"/>
                </w:tcPr>
                <w:p w14:paraId="366B3BC5">
                  <w:pPr>
                    <w:pStyle w:val="51"/>
                    <w:rPr>
                      <w:color w:val="auto"/>
                      <w:lang w:val="zh-CN"/>
                    </w:rPr>
                  </w:pPr>
                  <w:r>
                    <w:rPr>
                      <w:rFonts w:hint="eastAsia"/>
                      <w:color w:val="auto"/>
                    </w:rPr>
                    <w:t>符合</w:t>
                  </w:r>
                </w:p>
              </w:tc>
            </w:tr>
            <w:tr w14:paraId="04E6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Merge w:val="continue"/>
                  <w:vAlign w:val="center"/>
                </w:tcPr>
                <w:p w14:paraId="75FF93CD">
                  <w:pPr>
                    <w:pStyle w:val="51"/>
                    <w:rPr>
                      <w:color w:val="auto"/>
                    </w:rPr>
                  </w:pPr>
                </w:p>
              </w:tc>
              <w:tc>
                <w:tcPr>
                  <w:tcW w:w="3764" w:type="dxa"/>
                  <w:vAlign w:val="center"/>
                </w:tcPr>
                <w:p w14:paraId="6A436FBF">
                  <w:pPr>
                    <w:pStyle w:val="51"/>
                    <w:rPr>
                      <w:color w:val="auto"/>
                    </w:rPr>
                  </w:pPr>
                  <w:r>
                    <w:rPr>
                      <w:color w:val="auto"/>
                    </w:rPr>
                    <w:t>2、生产、使用、储存危险化学品或其他存在环境风险的企事业单位，应当制定风险防范措施，编制完善突发环境事件应急预案，防止发生环境污染事故。</w:t>
                  </w:r>
                </w:p>
              </w:tc>
              <w:tc>
                <w:tcPr>
                  <w:tcW w:w="3009" w:type="dxa"/>
                  <w:vAlign w:val="center"/>
                </w:tcPr>
                <w:p w14:paraId="3F314838">
                  <w:pPr>
                    <w:pStyle w:val="51"/>
                    <w:rPr>
                      <w:color w:val="auto"/>
                    </w:rPr>
                  </w:pPr>
                  <w:r>
                    <w:rPr>
                      <w:rFonts w:hint="eastAsia"/>
                      <w:color w:val="auto"/>
                    </w:rPr>
                    <w:t>本项目不涉及</w:t>
                  </w:r>
                  <w:r>
                    <w:rPr>
                      <w:color w:val="auto"/>
                    </w:rPr>
                    <w:t>生产、使用、储存危险化学品</w:t>
                  </w:r>
                  <w:r>
                    <w:rPr>
                      <w:rFonts w:hint="eastAsia"/>
                      <w:color w:val="auto"/>
                    </w:rPr>
                    <w:t>。</w:t>
                  </w:r>
                </w:p>
              </w:tc>
              <w:tc>
                <w:tcPr>
                  <w:tcW w:w="651" w:type="dxa"/>
                  <w:vAlign w:val="center"/>
                </w:tcPr>
                <w:p w14:paraId="319BA19A">
                  <w:pPr>
                    <w:pStyle w:val="51"/>
                    <w:rPr>
                      <w:color w:val="auto"/>
                      <w:lang w:val="zh-CN"/>
                    </w:rPr>
                  </w:pPr>
                  <w:r>
                    <w:rPr>
                      <w:rFonts w:hint="eastAsia"/>
                      <w:color w:val="auto"/>
                    </w:rPr>
                    <w:t>符合</w:t>
                  </w:r>
                </w:p>
              </w:tc>
            </w:tr>
            <w:tr w14:paraId="4FBD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97" w:type="dxa"/>
                  <w:vMerge w:val="continue"/>
                  <w:vAlign w:val="center"/>
                </w:tcPr>
                <w:p w14:paraId="652C7E10">
                  <w:pPr>
                    <w:pStyle w:val="51"/>
                    <w:rPr>
                      <w:color w:val="auto"/>
                    </w:rPr>
                  </w:pPr>
                </w:p>
              </w:tc>
              <w:tc>
                <w:tcPr>
                  <w:tcW w:w="3764" w:type="dxa"/>
                  <w:vAlign w:val="center"/>
                </w:tcPr>
                <w:p w14:paraId="32858C35">
                  <w:pPr>
                    <w:pStyle w:val="51"/>
                    <w:rPr>
                      <w:color w:val="auto"/>
                    </w:rPr>
                  </w:pPr>
                  <w:r>
                    <w:rPr>
                      <w:color w:val="auto"/>
                    </w:rPr>
                    <w:t>3、加强环境影响跟踪监测，建立健全各环境要素监控体系，完善并落实园区日常环境监测与污染源监控计划</w:t>
                  </w:r>
                </w:p>
              </w:tc>
              <w:tc>
                <w:tcPr>
                  <w:tcW w:w="3009" w:type="dxa"/>
                  <w:vAlign w:val="center"/>
                </w:tcPr>
                <w:p w14:paraId="3B9655A7">
                  <w:pPr>
                    <w:pStyle w:val="51"/>
                    <w:rPr>
                      <w:color w:val="auto"/>
                    </w:rPr>
                  </w:pPr>
                  <w:r>
                    <w:rPr>
                      <w:rFonts w:hint="eastAsia"/>
                      <w:color w:val="auto"/>
                    </w:rPr>
                    <w:t>本项目将加强</w:t>
                  </w:r>
                  <w:r>
                    <w:rPr>
                      <w:color w:val="auto"/>
                    </w:rPr>
                    <w:t>环境影响跟踪监测，建立健全各环境要素监控体系，完善并落实园区日常环境监测与污染源监控计划</w:t>
                  </w:r>
                  <w:r>
                    <w:rPr>
                      <w:rFonts w:hint="eastAsia"/>
                      <w:color w:val="auto"/>
                    </w:rPr>
                    <w:t>。</w:t>
                  </w:r>
                </w:p>
              </w:tc>
              <w:tc>
                <w:tcPr>
                  <w:tcW w:w="651" w:type="dxa"/>
                  <w:vAlign w:val="center"/>
                </w:tcPr>
                <w:p w14:paraId="207022D9">
                  <w:pPr>
                    <w:pStyle w:val="51"/>
                    <w:rPr>
                      <w:color w:val="auto"/>
                      <w:lang w:val="zh-CN"/>
                    </w:rPr>
                  </w:pPr>
                  <w:r>
                    <w:rPr>
                      <w:rFonts w:hint="eastAsia"/>
                      <w:color w:val="auto"/>
                    </w:rPr>
                    <w:t>符合</w:t>
                  </w:r>
                </w:p>
              </w:tc>
            </w:tr>
            <w:tr w14:paraId="6D74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Merge w:val="restart"/>
                  <w:vAlign w:val="center"/>
                </w:tcPr>
                <w:p w14:paraId="7BD53FC9">
                  <w:pPr>
                    <w:pStyle w:val="51"/>
                    <w:rPr>
                      <w:color w:val="auto"/>
                      <w:lang w:val="zh-CN"/>
                    </w:rPr>
                  </w:pPr>
                  <w:r>
                    <w:rPr>
                      <w:color w:val="auto"/>
                    </w:rPr>
                    <w:t>资源利用效率要求</w:t>
                  </w:r>
                </w:p>
              </w:tc>
              <w:tc>
                <w:tcPr>
                  <w:tcW w:w="3764" w:type="dxa"/>
                  <w:vAlign w:val="center"/>
                </w:tcPr>
                <w:p w14:paraId="48A7D527">
                  <w:pPr>
                    <w:pStyle w:val="51"/>
                    <w:rPr>
                      <w:color w:val="auto"/>
                    </w:rPr>
                  </w:pPr>
                  <w:r>
                    <w:rPr>
                      <w:color w:val="auto"/>
                    </w:rPr>
                    <w:t>1、新建高耗能项目单位产品（产值）能耗要达到国际先进水平。</w:t>
                  </w:r>
                </w:p>
              </w:tc>
              <w:tc>
                <w:tcPr>
                  <w:tcW w:w="3009" w:type="dxa"/>
                  <w:vMerge w:val="restart"/>
                  <w:vAlign w:val="center"/>
                </w:tcPr>
                <w:p w14:paraId="7755F9A1">
                  <w:pPr>
                    <w:pStyle w:val="51"/>
                    <w:rPr>
                      <w:color w:val="auto"/>
                    </w:rPr>
                  </w:pPr>
                  <w:r>
                    <w:rPr>
                      <w:color w:val="auto"/>
                    </w:rPr>
                    <w:t>本项目单位年工业增加值能耗（等价值）为8.957kgce/百米。</w:t>
                  </w:r>
                  <w:r>
                    <w:rPr>
                      <w:rFonts w:hint="eastAsia"/>
                      <w:color w:val="auto"/>
                    </w:rPr>
                    <w:t>对照</w:t>
                  </w:r>
                  <w:r>
                    <w:rPr>
                      <w:color w:val="auto"/>
                    </w:rPr>
                    <w:t>国家发展改革委等部门关于发布《工业重点领域能效标杆水平和基准水平（2023年版）》的通知（发改产业〔2023〕723号），化纤织造及印染精加工行业标杆水平为28kgce/百米、基准水平为36kgce/百米，故本项目单位产品能耗达到国</w:t>
                  </w:r>
                  <w:r>
                    <w:rPr>
                      <w:rFonts w:hint="eastAsia"/>
                      <w:color w:val="auto"/>
                    </w:rPr>
                    <w:t>家和省能耗限额标准</w:t>
                  </w:r>
                  <w:r>
                    <w:rPr>
                      <w:color w:val="auto"/>
                    </w:rPr>
                    <w:t>。</w:t>
                  </w:r>
                </w:p>
              </w:tc>
              <w:tc>
                <w:tcPr>
                  <w:tcW w:w="651" w:type="dxa"/>
                  <w:shd w:val="clear" w:color="auto" w:fill="auto"/>
                  <w:vAlign w:val="center"/>
                </w:tcPr>
                <w:p w14:paraId="3EA9601E">
                  <w:pPr>
                    <w:pStyle w:val="51"/>
                    <w:rPr>
                      <w:color w:val="auto"/>
                      <w:lang w:val="zh-CN"/>
                    </w:rPr>
                  </w:pPr>
                  <w:r>
                    <w:rPr>
                      <w:rFonts w:hint="eastAsia"/>
                      <w:color w:val="auto"/>
                    </w:rPr>
                    <w:t>符合</w:t>
                  </w:r>
                </w:p>
              </w:tc>
            </w:tr>
            <w:tr w14:paraId="2D8A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Merge w:val="continue"/>
                  <w:vAlign w:val="center"/>
                </w:tcPr>
                <w:p w14:paraId="111F68D4">
                  <w:pPr>
                    <w:pStyle w:val="51"/>
                    <w:rPr>
                      <w:color w:val="auto"/>
                      <w:lang w:val="zh-CN"/>
                    </w:rPr>
                  </w:pPr>
                </w:p>
              </w:tc>
              <w:tc>
                <w:tcPr>
                  <w:tcW w:w="3764" w:type="dxa"/>
                  <w:vAlign w:val="center"/>
                </w:tcPr>
                <w:p w14:paraId="69C8D257">
                  <w:pPr>
                    <w:pStyle w:val="51"/>
                    <w:rPr>
                      <w:color w:val="auto"/>
                    </w:rPr>
                  </w:pPr>
                  <w:r>
                    <w:rPr>
                      <w:color w:val="auto"/>
                    </w:rPr>
                    <w:t>2、按照国家和省能耗及水耗限额标准执行。</w:t>
                  </w:r>
                </w:p>
              </w:tc>
              <w:tc>
                <w:tcPr>
                  <w:tcW w:w="3009" w:type="dxa"/>
                  <w:vMerge w:val="continue"/>
                  <w:vAlign w:val="center"/>
                </w:tcPr>
                <w:p w14:paraId="0ACEABA3">
                  <w:pPr>
                    <w:pStyle w:val="51"/>
                    <w:rPr>
                      <w:color w:val="auto"/>
                      <w:lang w:val="zh-CN"/>
                    </w:rPr>
                  </w:pPr>
                </w:p>
              </w:tc>
              <w:tc>
                <w:tcPr>
                  <w:tcW w:w="651" w:type="dxa"/>
                  <w:shd w:val="clear" w:color="auto" w:fill="auto"/>
                  <w:vAlign w:val="center"/>
                </w:tcPr>
                <w:p w14:paraId="097AFC54">
                  <w:pPr>
                    <w:pStyle w:val="51"/>
                    <w:rPr>
                      <w:color w:val="auto"/>
                      <w:lang w:val="zh-CN"/>
                    </w:rPr>
                  </w:pPr>
                  <w:r>
                    <w:rPr>
                      <w:rFonts w:hint="eastAsia"/>
                      <w:color w:val="auto"/>
                    </w:rPr>
                    <w:t>符合</w:t>
                  </w:r>
                </w:p>
              </w:tc>
            </w:tr>
            <w:tr w14:paraId="39E0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Merge w:val="continue"/>
                  <w:vAlign w:val="center"/>
                </w:tcPr>
                <w:p w14:paraId="75471842">
                  <w:pPr>
                    <w:pStyle w:val="51"/>
                    <w:rPr>
                      <w:color w:val="auto"/>
                      <w:lang w:val="zh-CN"/>
                    </w:rPr>
                  </w:pPr>
                </w:p>
              </w:tc>
              <w:tc>
                <w:tcPr>
                  <w:tcW w:w="3764" w:type="dxa"/>
                  <w:vAlign w:val="center"/>
                </w:tcPr>
                <w:p w14:paraId="0CE26EB9">
                  <w:pPr>
                    <w:pStyle w:val="51"/>
                    <w:rPr>
                      <w:color w:val="auto"/>
                    </w:rPr>
                  </w:pPr>
                  <w:r>
                    <w:rPr>
                      <w:color w:val="auto"/>
                    </w:rPr>
                    <w:t>3、强化企业清洁生产改造，推进节水型企业、节水型园区建设，提高资源能源利用效率。</w:t>
                  </w:r>
                </w:p>
              </w:tc>
              <w:tc>
                <w:tcPr>
                  <w:tcW w:w="3009" w:type="dxa"/>
                  <w:vAlign w:val="center"/>
                </w:tcPr>
                <w:p w14:paraId="65CFBC18">
                  <w:pPr>
                    <w:pStyle w:val="51"/>
                    <w:rPr>
                      <w:color w:val="auto"/>
                    </w:rPr>
                  </w:pPr>
                  <w:r>
                    <w:rPr>
                      <w:rFonts w:hint="eastAsia"/>
                      <w:color w:val="auto"/>
                    </w:rPr>
                    <w:t>本项目使用电能清洁能源。项目喷水织造废水经厂区污水处理站处理后全部回用于喷水织造、不外排；磨毛用水经捞渣后循环使用、不外排，提高了水资源利用效率。</w:t>
                  </w:r>
                </w:p>
              </w:tc>
              <w:tc>
                <w:tcPr>
                  <w:tcW w:w="651" w:type="dxa"/>
                  <w:shd w:val="clear" w:color="auto" w:fill="auto"/>
                  <w:vAlign w:val="center"/>
                </w:tcPr>
                <w:p w14:paraId="3CE20D98">
                  <w:pPr>
                    <w:pStyle w:val="51"/>
                    <w:rPr>
                      <w:color w:val="auto"/>
                      <w:lang w:val="zh-CN"/>
                    </w:rPr>
                  </w:pPr>
                  <w:r>
                    <w:rPr>
                      <w:rFonts w:hint="eastAsia"/>
                      <w:color w:val="auto"/>
                    </w:rPr>
                    <w:t>符合</w:t>
                  </w:r>
                </w:p>
              </w:tc>
            </w:tr>
          </w:tbl>
          <w:p w14:paraId="2B921B17">
            <w:pPr>
              <w:pStyle w:val="47"/>
              <w:ind w:firstLine="480"/>
              <w:rPr>
                <w:color w:val="auto"/>
              </w:rPr>
            </w:pPr>
            <w:r>
              <w:rPr>
                <w:color w:val="auto"/>
              </w:rPr>
              <w:t>由</w:t>
            </w:r>
            <w:r>
              <w:rPr>
                <w:color w:val="auto"/>
              </w:rPr>
              <w:fldChar w:fldCharType="begin"/>
            </w:r>
            <w:r>
              <w:rPr>
                <w:color w:val="auto"/>
              </w:rPr>
              <w:instrText xml:space="preserve"> REF _Ref28114 \h </w:instrText>
            </w:r>
            <w:r>
              <w:rPr>
                <w:color w:val="auto"/>
              </w:rPr>
              <w:fldChar w:fldCharType="separate"/>
            </w:r>
            <w:r>
              <w:rPr>
                <w:color w:val="auto"/>
              </w:rPr>
              <w:t>表1- 5</w:t>
            </w:r>
            <w:r>
              <w:rPr>
                <w:color w:val="auto"/>
              </w:rPr>
              <w:fldChar w:fldCharType="end"/>
            </w:r>
            <w:r>
              <w:rPr>
                <w:color w:val="auto"/>
              </w:rPr>
              <w:t>可知，本项目的建设与</w:t>
            </w:r>
            <w:r>
              <w:rPr>
                <w:rFonts w:hint="eastAsia"/>
                <w:color w:val="auto"/>
              </w:rPr>
              <w:t>泗阳县新袁镇工业园区</w:t>
            </w:r>
            <w:r>
              <w:rPr>
                <w:color w:val="auto"/>
              </w:rPr>
              <w:t>生态环境准入清单中的相关要求相符。</w:t>
            </w:r>
          </w:p>
          <w:p w14:paraId="6F2F687B">
            <w:pPr>
              <w:pStyle w:val="47"/>
              <w:ind w:firstLine="482"/>
              <w:rPr>
                <w:b/>
                <w:bCs/>
                <w:color w:val="auto"/>
              </w:rPr>
            </w:pPr>
            <w:r>
              <w:rPr>
                <w:b/>
                <w:bCs/>
                <w:color w:val="auto"/>
              </w:rPr>
              <w:t>③</w:t>
            </w:r>
            <w:r>
              <w:rPr>
                <w:rFonts w:hint="eastAsia"/>
                <w:b/>
                <w:bCs/>
                <w:color w:val="auto"/>
              </w:rPr>
              <w:t>与</w:t>
            </w:r>
            <w:r>
              <w:rPr>
                <w:b/>
                <w:bCs/>
                <w:color w:val="auto"/>
              </w:rPr>
              <w:t>国家及地方产业政策和《市场准入负面清单（2022年版）》</w:t>
            </w:r>
            <w:r>
              <w:rPr>
                <w:rFonts w:hint="eastAsia"/>
                <w:b/>
                <w:bCs/>
                <w:color w:val="auto"/>
              </w:rPr>
              <w:t>相符性分析</w:t>
            </w:r>
          </w:p>
          <w:p w14:paraId="3C505AE7">
            <w:pPr>
              <w:pStyle w:val="47"/>
              <w:ind w:firstLine="480"/>
              <w:rPr>
                <w:color w:val="auto"/>
              </w:rPr>
            </w:pPr>
            <w:r>
              <w:rPr>
                <w:color w:val="auto"/>
              </w:rPr>
              <w:t>根据国家及地方产业政策和《市场准入负面清单（2022年版）》</w:t>
            </w:r>
            <w:r>
              <w:rPr>
                <w:rFonts w:hint="eastAsia"/>
                <w:color w:val="auto"/>
              </w:rPr>
              <w:t>的相关</w:t>
            </w:r>
            <w:r>
              <w:rPr>
                <w:color w:val="auto"/>
              </w:rPr>
              <w:t>要求，本项目相符性见</w:t>
            </w:r>
            <w:r>
              <w:rPr>
                <w:color w:val="auto"/>
              </w:rPr>
              <w:fldChar w:fldCharType="begin"/>
            </w:r>
            <w:r>
              <w:rPr>
                <w:color w:val="auto"/>
              </w:rPr>
              <w:instrText xml:space="preserve"> REF _Ref2976 \h </w:instrText>
            </w:r>
            <w:r>
              <w:rPr>
                <w:color w:val="auto"/>
              </w:rPr>
              <w:fldChar w:fldCharType="separate"/>
            </w:r>
            <w:r>
              <w:rPr>
                <w:color w:val="auto"/>
              </w:rPr>
              <w:t>表1- 6</w:t>
            </w:r>
            <w:r>
              <w:rPr>
                <w:color w:val="auto"/>
              </w:rPr>
              <w:fldChar w:fldCharType="end"/>
            </w:r>
            <w:r>
              <w:rPr>
                <w:color w:val="auto"/>
              </w:rPr>
              <w:t>。</w:t>
            </w:r>
          </w:p>
          <w:p w14:paraId="24BEB412">
            <w:pPr>
              <w:pStyle w:val="7"/>
              <w:rPr>
                <w:color w:val="auto"/>
              </w:rPr>
            </w:pPr>
            <w:bookmarkStart w:id="13" w:name="_Ref2976"/>
            <w:r>
              <w:rPr>
                <w:color w:val="auto"/>
              </w:rPr>
              <w:t xml:space="preserve">表1- </w:t>
            </w:r>
            <w:r>
              <w:rPr>
                <w:color w:val="auto"/>
              </w:rPr>
              <w:fldChar w:fldCharType="begin"/>
            </w:r>
            <w:r>
              <w:rPr>
                <w:color w:val="auto"/>
              </w:rPr>
              <w:instrText xml:space="preserve"> SEQ 表1- \* ARABIC </w:instrText>
            </w:r>
            <w:r>
              <w:rPr>
                <w:color w:val="auto"/>
              </w:rPr>
              <w:fldChar w:fldCharType="separate"/>
            </w:r>
            <w:r>
              <w:rPr>
                <w:color w:val="auto"/>
              </w:rPr>
              <w:t>6</w:t>
            </w:r>
            <w:r>
              <w:rPr>
                <w:color w:val="auto"/>
              </w:rPr>
              <w:fldChar w:fldCharType="end"/>
            </w:r>
            <w:bookmarkEnd w:id="13"/>
            <w:r>
              <w:rPr>
                <w:color w:val="auto"/>
              </w:rPr>
              <w:t xml:space="preserve"> 与国家及地方产业政策和《市场准入负面清单》相符性分析</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498"/>
              <w:gridCol w:w="3950"/>
            </w:tblGrid>
            <w:tr w14:paraId="7D68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14:paraId="205C14C0">
                  <w:pPr>
                    <w:pStyle w:val="49"/>
                    <w:rPr>
                      <w:color w:val="auto"/>
                    </w:rPr>
                  </w:pPr>
                  <w:r>
                    <w:rPr>
                      <w:color w:val="auto"/>
                    </w:rPr>
                    <w:t>序号</w:t>
                  </w:r>
                </w:p>
              </w:tc>
              <w:tc>
                <w:tcPr>
                  <w:tcW w:w="2153" w:type="pct"/>
                  <w:vAlign w:val="center"/>
                </w:tcPr>
                <w:p w14:paraId="5DF62F6C">
                  <w:pPr>
                    <w:pStyle w:val="49"/>
                    <w:rPr>
                      <w:color w:val="auto"/>
                    </w:rPr>
                  </w:pPr>
                  <w:r>
                    <w:rPr>
                      <w:color w:val="auto"/>
                    </w:rPr>
                    <w:t>内容</w:t>
                  </w:r>
                </w:p>
              </w:tc>
              <w:tc>
                <w:tcPr>
                  <w:tcW w:w="2432" w:type="pct"/>
                  <w:vAlign w:val="center"/>
                </w:tcPr>
                <w:p w14:paraId="2369B202">
                  <w:pPr>
                    <w:pStyle w:val="49"/>
                    <w:rPr>
                      <w:color w:val="auto"/>
                    </w:rPr>
                  </w:pPr>
                  <w:r>
                    <w:rPr>
                      <w:color w:val="auto"/>
                    </w:rPr>
                    <w:t>相符性分析</w:t>
                  </w:r>
                </w:p>
              </w:tc>
            </w:tr>
            <w:tr w14:paraId="232C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14" w:type="pct"/>
                  <w:vAlign w:val="center"/>
                </w:tcPr>
                <w:p w14:paraId="2C1BC288">
                  <w:pPr>
                    <w:pStyle w:val="51"/>
                    <w:rPr>
                      <w:color w:val="auto"/>
                    </w:rPr>
                  </w:pPr>
                  <w:r>
                    <w:rPr>
                      <w:color w:val="auto"/>
                    </w:rPr>
                    <w:t>1</w:t>
                  </w:r>
                </w:p>
              </w:tc>
              <w:tc>
                <w:tcPr>
                  <w:tcW w:w="2153" w:type="pct"/>
                  <w:vAlign w:val="center"/>
                </w:tcPr>
                <w:p w14:paraId="41E1FE37">
                  <w:pPr>
                    <w:pStyle w:val="51"/>
                    <w:rPr>
                      <w:color w:val="auto"/>
                    </w:rPr>
                  </w:pPr>
                  <w:r>
                    <w:rPr>
                      <w:color w:val="auto"/>
                    </w:rPr>
                    <w:t>《</w:t>
                  </w:r>
                  <w:r>
                    <w:rPr>
                      <w:color w:val="auto"/>
                    </w:rPr>
                    <w:fldChar w:fldCharType="begin"/>
                  </w:r>
                  <w:r>
                    <w:rPr>
                      <w:color w:val="auto"/>
                    </w:rPr>
                    <w:instrText xml:space="preserve"> HYPERLINK "https://mp.weixin.qq.com/s?__biz=MzIzMjUzNzI3OQ==&amp;mid=2247525969&amp;idx=1&amp;sn=cf41210dc5b3fff743520f59e094a58b&amp;scene=21" \l "wechat_redirect" \t "https://mp.weixin.qq.com/_blank" </w:instrText>
                  </w:r>
                  <w:r>
                    <w:rPr>
                      <w:color w:val="auto"/>
                    </w:rPr>
                    <w:fldChar w:fldCharType="separate"/>
                  </w:r>
                  <w:r>
                    <w:rPr>
                      <w:color w:val="auto"/>
                    </w:rPr>
                    <w:t>自然资源要素支撑产业高质量发展指导目录（2024年本）</w:t>
                  </w:r>
                  <w:r>
                    <w:rPr>
                      <w:color w:val="auto"/>
                    </w:rPr>
                    <w:fldChar w:fldCharType="end"/>
                  </w:r>
                  <w:r>
                    <w:rPr>
                      <w:color w:val="auto"/>
                    </w:rPr>
                    <w:t>》</w:t>
                  </w:r>
                </w:p>
              </w:tc>
              <w:tc>
                <w:tcPr>
                  <w:tcW w:w="2432" w:type="pct"/>
                  <w:vAlign w:val="center"/>
                </w:tcPr>
                <w:p w14:paraId="73E1E53F">
                  <w:pPr>
                    <w:pStyle w:val="51"/>
                    <w:rPr>
                      <w:color w:val="auto"/>
                    </w:rPr>
                  </w:pPr>
                  <w:r>
                    <w:rPr>
                      <w:color w:val="auto"/>
                    </w:rPr>
                    <w:t>本项目用地不属于鼓励类、限制类、禁止类用地。</w:t>
                  </w:r>
                </w:p>
              </w:tc>
            </w:tr>
            <w:tr w14:paraId="769C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14:paraId="0F5F35B6">
                  <w:pPr>
                    <w:pStyle w:val="51"/>
                    <w:rPr>
                      <w:color w:val="auto"/>
                    </w:rPr>
                  </w:pPr>
                  <w:r>
                    <w:rPr>
                      <w:color w:val="auto"/>
                    </w:rPr>
                    <w:t>2</w:t>
                  </w:r>
                </w:p>
              </w:tc>
              <w:tc>
                <w:tcPr>
                  <w:tcW w:w="2153" w:type="pct"/>
                  <w:vAlign w:val="center"/>
                </w:tcPr>
                <w:p w14:paraId="09F69B08">
                  <w:pPr>
                    <w:pStyle w:val="51"/>
                    <w:rPr>
                      <w:color w:val="auto"/>
                    </w:rPr>
                  </w:pPr>
                  <w:r>
                    <w:rPr>
                      <w:color w:val="auto"/>
                    </w:rPr>
                    <w:t>《市场准入负面清单（2022年版）》</w:t>
                  </w:r>
                </w:p>
              </w:tc>
              <w:tc>
                <w:tcPr>
                  <w:tcW w:w="2432" w:type="pct"/>
                  <w:vAlign w:val="center"/>
                </w:tcPr>
                <w:p w14:paraId="6E928F5C">
                  <w:pPr>
                    <w:pStyle w:val="51"/>
                    <w:rPr>
                      <w:color w:val="auto"/>
                    </w:rPr>
                  </w:pPr>
                  <w:r>
                    <w:rPr>
                      <w:color w:val="auto"/>
                    </w:rPr>
                    <w:t>本项目不属于禁止准入类和限制准入类。</w:t>
                  </w:r>
                </w:p>
              </w:tc>
            </w:tr>
          </w:tbl>
          <w:p w14:paraId="60D96D94">
            <w:pPr>
              <w:pStyle w:val="47"/>
              <w:ind w:firstLine="480"/>
              <w:rPr>
                <w:color w:val="auto"/>
              </w:rPr>
            </w:pPr>
            <w:r>
              <w:rPr>
                <w:color w:val="auto"/>
              </w:rPr>
              <w:t>由</w:t>
            </w:r>
            <w:r>
              <w:rPr>
                <w:color w:val="auto"/>
              </w:rPr>
              <w:fldChar w:fldCharType="begin"/>
            </w:r>
            <w:r>
              <w:rPr>
                <w:color w:val="auto"/>
              </w:rPr>
              <w:instrText xml:space="preserve"> REF _Ref2976 \h </w:instrText>
            </w:r>
            <w:r>
              <w:rPr>
                <w:color w:val="auto"/>
              </w:rPr>
              <w:fldChar w:fldCharType="separate"/>
            </w:r>
            <w:r>
              <w:rPr>
                <w:color w:val="auto"/>
              </w:rPr>
              <w:t>表1- 6</w:t>
            </w:r>
            <w:r>
              <w:rPr>
                <w:color w:val="auto"/>
              </w:rPr>
              <w:fldChar w:fldCharType="end"/>
            </w:r>
            <w:r>
              <w:rPr>
                <w:color w:val="auto"/>
              </w:rPr>
              <w:t>可知，本项目的建设符合国家及地方产业政策和《市场准入负面清单（2022年版）》相关要求。</w:t>
            </w:r>
          </w:p>
          <w:p w14:paraId="2C9BDAC7">
            <w:pPr>
              <w:pStyle w:val="47"/>
              <w:ind w:firstLine="480"/>
              <w:rPr>
                <w:color w:val="auto"/>
              </w:rPr>
            </w:pPr>
            <w:r>
              <w:rPr>
                <w:color w:val="auto"/>
              </w:rPr>
              <w:t>综上所述，本项目符合“三线一单”相关要求。</w:t>
            </w:r>
          </w:p>
          <w:p w14:paraId="27196E77">
            <w:pPr>
              <w:pStyle w:val="47"/>
              <w:ind w:firstLine="482"/>
              <w:rPr>
                <w:b/>
                <w:bCs/>
                <w:color w:val="auto"/>
              </w:rPr>
            </w:pPr>
            <w:r>
              <w:rPr>
                <w:b/>
                <w:bCs/>
                <w:color w:val="auto"/>
              </w:rPr>
              <w:t>3、与《加强喷水织造企业环境管理的工作意见》</w:t>
            </w:r>
            <w:r>
              <w:rPr>
                <w:rFonts w:hint="eastAsia"/>
                <w:b/>
                <w:bCs/>
                <w:color w:val="auto"/>
              </w:rPr>
              <w:t>（</w:t>
            </w:r>
            <w:r>
              <w:rPr>
                <w:b/>
                <w:bCs/>
                <w:color w:val="auto"/>
              </w:rPr>
              <w:t>泗环发〔202</w:t>
            </w:r>
            <w:r>
              <w:rPr>
                <w:rFonts w:hint="eastAsia"/>
                <w:b/>
                <w:bCs/>
                <w:color w:val="auto"/>
              </w:rPr>
              <w:t>1</w:t>
            </w:r>
            <w:r>
              <w:rPr>
                <w:b/>
                <w:bCs/>
                <w:color w:val="auto"/>
              </w:rPr>
              <w:t>〕</w:t>
            </w:r>
            <w:r>
              <w:rPr>
                <w:rFonts w:hint="eastAsia"/>
                <w:b/>
                <w:bCs/>
                <w:color w:val="auto"/>
              </w:rPr>
              <w:t>5</w:t>
            </w:r>
            <w:r>
              <w:rPr>
                <w:b/>
                <w:bCs/>
                <w:color w:val="auto"/>
              </w:rPr>
              <w:t>1号</w:t>
            </w:r>
            <w:r>
              <w:rPr>
                <w:rFonts w:hint="eastAsia"/>
                <w:b/>
                <w:bCs/>
                <w:color w:val="auto"/>
              </w:rPr>
              <w:t>）</w:t>
            </w:r>
            <w:r>
              <w:rPr>
                <w:b/>
                <w:bCs/>
                <w:color w:val="auto"/>
              </w:rPr>
              <w:t>相符性分析</w:t>
            </w:r>
          </w:p>
          <w:p w14:paraId="153FF5B8">
            <w:pPr>
              <w:pStyle w:val="47"/>
              <w:ind w:firstLine="480"/>
              <w:rPr>
                <w:color w:val="auto"/>
              </w:rPr>
            </w:pPr>
            <w:r>
              <w:rPr>
                <w:color w:val="auto"/>
              </w:rPr>
              <w:t>根据《加强喷水织造企业环境管理的工作意见》</w:t>
            </w:r>
            <w:r>
              <w:rPr>
                <w:rFonts w:hint="eastAsia"/>
                <w:color w:val="auto"/>
              </w:rPr>
              <w:t>（</w:t>
            </w:r>
            <w:r>
              <w:rPr>
                <w:color w:val="auto"/>
              </w:rPr>
              <w:t>泗环发〔202</w:t>
            </w:r>
            <w:r>
              <w:rPr>
                <w:rFonts w:hint="eastAsia"/>
                <w:color w:val="auto"/>
              </w:rPr>
              <w:t>1</w:t>
            </w:r>
            <w:r>
              <w:rPr>
                <w:color w:val="auto"/>
              </w:rPr>
              <w:t>〕</w:t>
            </w:r>
            <w:r>
              <w:rPr>
                <w:rFonts w:hint="eastAsia"/>
                <w:color w:val="auto"/>
              </w:rPr>
              <w:t>5</w:t>
            </w:r>
            <w:r>
              <w:rPr>
                <w:color w:val="auto"/>
              </w:rPr>
              <w:t>1号</w:t>
            </w:r>
            <w:r>
              <w:rPr>
                <w:rFonts w:hint="eastAsia"/>
                <w:color w:val="auto"/>
              </w:rPr>
              <w:t>）的相关</w:t>
            </w:r>
            <w:r>
              <w:rPr>
                <w:color w:val="auto"/>
              </w:rPr>
              <w:t>要求，本项目相符性见</w:t>
            </w:r>
            <w:r>
              <w:rPr>
                <w:color w:val="auto"/>
              </w:rPr>
              <w:fldChar w:fldCharType="begin"/>
            </w:r>
            <w:r>
              <w:rPr>
                <w:color w:val="auto"/>
              </w:rPr>
              <w:instrText xml:space="preserve"> REF _Ref28754 \h </w:instrText>
            </w:r>
            <w:r>
              <w:rPr>
                <w:color w:val="auto"/>
              </w:rPr>
              <w:fldChar w:fldCharType="separate"/>
            </w:r>
            <w:r>
              <w:rPr>
                <w:color w:val="auto"/>
              </w:rPr>
              <w:t>表1- 7</w:t>
            </w:r>
            <w:r>
              <w:rPr>
                <w:color w:val="auto"/>
              </w:rPr>
              <w:fldChar w:fldCharType="end"/>
            </w:r>
            <w:r>
              <w:rPr>
                <w:color w:val="auto"/>
              </w:rPr>
              <w:t>。</w:t>
            </w:r>
          </w:p>
          <w:p w14:paraId="0EE5E1DB">
            <w:pPr>
              <w:pStyle w:val="7"/>
              <w:rPr>
                <w:color w:val="auto"/>
              </w:rPr>
            </w:pPr>
            <w:bookmarkStart w:id="14" w:name="_Ref28754"/>
            <w:r>
              <w:rPr>
                <w:color w:val="auto"/>
              </w:rPr>
              <w:t xml:space="preserve">表1- </w:t>
            </w:r>
            <w:r>
              <w:rPr>
                <w:color w:val="auto"/>
              </w:rPr>
              <w:fldChar w:fldCharType="begin"/>
            </w:r>
            <w:r>
              <w:rPr>
                <w:color w:val="auto"/>
              </w:rPr>
              <w:instrText xml:space="preserve"> SEQ 表1- \* ARABIC </w:instrText>
            </w:r>
            <w:r>
              <w:rPr>
                <w:color w:val="auto"/>
              </w:rPr>
              <w:fldChar w:fldCharType="separate"/>
            </w:r>
            <w:r>
              <w:rPr>
                <w:color w:val="auto"/>
              </w:rPr>
              <w:t>7</w:t>
            </w:r>
            <w:r>
              <w:rPr>
                <w:color w:val="auto"/>
              </w:rPr>
              <w:fldChar w:fldCharType="end"/>
            </w:r>
            <w:bookmarkEnd w:id="14"/>
            <w:r>
              <w:rPr>
                <w:color w:val="auto"/>
              </w:rPr>
              <w:t xml:space="preserve"> </w:t>
            </w:r>
            <w:r>
              <w:rPr>
                <w:rFonts w:hint="eastAsia"/>
                <w:color w:val="auto"/>
              </w:rPr>
              <w:t>项目</w:t>
            </w:r>
            <w:r>
              <w:rPr>
                <w:color w:val="auto"/>
              </w:rPr>
              <w:t>与</w:t>
            </w:r>
            <w:r>
              <w:rPr>
                <w:rFonts w:hint="eastAsia"/>
                <w:color w:val="auto"/>
              </w:rPr>
              <w:t>“</w:t>
            </w:r>
            <w:r>
              <w:rPr>
                <w:color w:val="auto"/>
              </w:rPr>
              <w:t>泗环发〔202</w:t>
            </w:r>
            <w:r>
              <w:rPr>
                <w:rFonts w:hint="eastAsia"/>
                <w:color w:val="auto"/>
              </w:rPr>
              <w:t>1</w:t>
            </w:r>
            <w:r>
              <w:rPr>
                <w:color w:val="auto"/>
              </w:rPr>
              <w:t>〕</w:t>
            </w:r>
            <w:r>
              <w:rPr>
                <w:rFonts w:hint="eastAsia"/>
                <w:color w:val="auto"/>
              </w:rPr>
              <w:t>5</w:t>
            </w:r>
            <w:r>
              <w:rPr>
                <w:color w:val="auto"/>
              </w:rPr>
              <w:t>1号</w:t>
            </w:r>
            <w:r>
              <w:rPr>
                <w:rFonts w:hint="eastAsia"/>
                <w:color w:val="auto"/>
              </w:rPr>
              <w:t>”</w:t>
            </w:r>
            <w:r>
              <w:rPr>
                <w:color w:val="auto"/>
              </w:rPr>
              <w:t>相符性分析</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3900"/>
              <w:gridCol w:w="3083"/>
              <w:gridCol w:w="666"/>
            </w:tblGrid>
            <w:tr w14:paraId="6B85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 w:hRule="atLeast"/>
                <w:jc w:val="center"/>
              </w:trPr>
              <w:tc>
                <w:tcPr>
                  <w:tcW w:w="290" w:type="pct"/>
                  <w:vAlign w:val="center"/>
                </w:tcPr>
                <w:p w14:paraId="09887273">
                  <w:pPr>
                    <w:pStyle w:val="49"/>
                    <w:rPr>
                      <w:color w:val="auto"/>
                    </w:rPr>
                  </w:pPr>
                  <w:r>
                    <w:rPr>
                      <w:color w:val="auto"/>
                    </w:rPr>
                    <w:t>序号</w:t>
                  </w:r>
                </w:p>
              </w:tc>
              <w:tc>
                <w:tcPr>
                  <w:tcW w:w="2401" w:type="pct"/>
                  <w:vAlign w:val="center"/>
                </w:tcPr>
                <w:p w14:paraId="677BE5C4">
                  <w:pPr>
                    <w:pStyle w:val="49"/>
                    <w:rPr>
                      <w:color w:val="auto"/>
                    </w:rPr>
                  </w:pPr>
                  <w:r>
                    <w:rPr>
                      <w:color w:val="auto"/>
                    </w:rPr>
                    <w:t>文件要求</w:t>
                  </w:r>
                </w:p>
              </w:tc>
              <w:tc>
                <w:tcPr>
                  <w:tcW w:w="1898" w:type="pct"/>
                  <w:vAlign w:val="center"/>
                </w:tcPr>
                <w:p w14:paraId="5EB6B35A">
                  <w:pPr>
                    <w:pStyle w:val="49"/>
                    <w:rPr>
                      <w:color w:val="auto"/>
                    </w:rPr>
                  </w:pPr>
                  <w:r>
                    <w:rPr>
                      <w:rFonts w:hint="eastAsia"/>
                      <w:color w:val="auto"/>
                    </w:rPr>
                    <w:t>本</w:t>
                  </w:r>
                  <w:r>
                    <w:rPr>
                      <w:color w:val="auto"/>
                    </w:rPr>
                    <w:t>项目情况</w:t>
                  </w:r>
                </w:p>
              </w:tc>
              <w:tc>
                <w:tcPr>
                  <w:tcW w:w="410" w:type="pct"/>
                  <w:vAlign w:val="center"/>
                </w:tcPr>
                <w:p w14:paraId="0E4882F2">
                  <w:pPr>
                    <w:pStyle w:val="49"/>
                    <w:rPr>
                      <w:color w:val="auto"/>
                    </w:rPr>
                  </w:pPr>
                  <w:r>
                    <w:rPr>
                      <w:color w:val="auto"/>
                    </w:rPr>
                    <w:t>相符性</w:t>
                  </w:r>
                </w:p>
              </w:tc>
            </w:tr>
            <w:tr w14:paraId="471B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pct"/>
                  <w:vAlign w:val="center"/>
                </w:tcPr>
                <w:p w14:paraId="544A68FD">
                  <w:pPr>
                    <w:pStyle w:val="51"/>
                    <w:rPr>
                      <w:color w:val="auto"/>
                    </w:rPr>
                  </w:pPr>
                  <w:r>
                    <w:rPr>
                      <w:color w:val="auto"/>
                    </w:rPr>
                    <w:t>1</w:t>
                  </w:r>
                </w:p>
              </w:tc>
              <w:tc>
                <w:tcPr>
                  <w:tcW w:w="2401" w:type="pct"/>
                  <w:vAlign w:val="center"/>
                </w:tcPr>
                <w:p w14:paraId="15CC88D1">
                  <w:pPr>
                    <w:pStyle w:val="51"/>
                    <w:rPr>
                      <w:color w:val="auto"/>
                    </w:rPr>
                  </w:pPr>
                  <w:r>
                    <w:rPr>
                      <w:color w:val="auto"/>
                    </w:rPr>
                    <w:t>变更办理有关环保手续</w:t>
                  </w:r>
                  <w:r>
                    <w:rPr>
                      <w:rFonts w:hint="eastAsia"/>
                      <w:color w:val="auto"/>
                    </w:rPr>
                    <w:t>：</w:t>
                  </w:r>
                  <w:r>
                    <w:rPr>
                      <w:color w:val="auto"/>
                    </w:rPr>
                    <w:t>针对前期环评批复废水</w:t>
                  </w:r>
                  <w:r>
                    <w:rPr>
                      <w:rFonts w:hint="eastAsia"/>
                      <w:color w:val="auto"/>
                    </w:rPr>
                    <w:t>“</w:t>
                  </w:r>
                  <w:r>
                    <w:rPr>
                      <w:color w:val="auto"/>
                    </w:rPr>
                    <w:t>零排放</w:t>
                  </w:r>
                  <w:r>
                    <w:rPr>
                      <w:rFonts w:hint="eastAsia"/>
                      <w:color w:val="auto"/>
                    </w:rPr>
                    <w:t>”</w:t>
                  </w:r>
                  <w:r>
                    <w:rPr>
                      <w:color w:val="auto"/>
                    </w:rPr>
                    <w:t>的喷水织造企业，根据企业实际情况，如确实需要排放废水，依据省生态环境厅《关于加强涉变动项目环评与排污许可管理衔接的通知》</w:t>
                  </w:r>
                  <w:r>
                    <w:rPr>
                      <w:rFonts w:hint="eastAsia"/>
                      <w:color w:val="auto"/>
                    </w:rPr>
                    <w:t>（</w:t>
                  </w:r>
                  <w:r>
                    <w:rPr>
                      <w:color w:val="auto"/>
                    </w:rPr>
                    <w:t>苏环办〔202</w:t>
                  </w:r>
                  <w:r>
                    <w:rPr>
                      <w:rFonts w:hint="eastAsia"/>
                      <w:color w:val="auto"/>
                    </w:rPr>
                    <w:t>1</w:t>
                  </w:r>
                  <w:r>
                    <w:rPr>
                      <w:color w:val="auto"/>
                    </w:rPr>
                    <w:t>〕122号</w:t>
                  </w:r>
                  <w:r>
                    <w:rPr>
                      <w:rFonts w:hint="eastAsia"/>
                      <w:color w:val="auto"/>
                    </w:rPr>
                    <w:t>）</w:t>
                  </w:r>
                  <w:r>
                    <w:rPr>
                      <w:color w:val="auto"/>
                    </w:rPr>
                    <w:t>文件要求，进一步完善环评和排污许可等手续。所排废水经预处理达到《纺织染整工业水污染物排放标准》</w:t>
                  </w:r>
                  <w:r>
                    <w:rPr>
                      <w:rFonts w:hint="eastAsia"/>
                      <w:color w:val="auto"/>
                    </w:rPr>
                    <w:t>（</w:t>
                  </w:r>
                  <w:r>
                    <w:rPr>
                      <w:color w:val="auto"/>
                    </w:rPr>
                    <w:t>GB4287-2012</w:t>
                  </w:r>
                  <w:r>
                    <w:rPr>
                      <w:rFonts w:hint="eastAsia"/>
                      <w:color w:val="auto"/>
                    </w:rPr>
                    <w:t>）</w:t>
                  </w:r>
                  <w:r>
                    <w:rPr>
                      <w:color w:val="auto"/>
                    </w:rPr>
                    <w:t>表2中间接排放标准后接管排入属地污水处理厂进行深度处理。</w:t>
                  </w:r>
                </w:p>
              </w:tc>
              <w:tc>
                <w:tcPr>
                  <w:tcW w:w="1898" w:type="pct"/>
                  <w:vAlign w:val="center"/>
                </w:tcPr>
                <w:p w14:paraId="5140019B">
                  <w:pPr>
                    <w:pStyle w:val="51"/>
                    <w:rPr>
                      <w:color w:val="auto"/>
                    </w:rPr>
                  </w:pPr>
                  <w:r>
                    <w:rPr>
                      <w:rFonts w:hint="eastAsia"/>
                      <w:color w:val="auto"/>
                    </w:rPr>
                    <w:t>本项目未</w:t>
                  </w:r>
                  <w:r>
                    <w:rPr>
                      <w:color w:val="auto"/>
                    </w:rPr>
                    <w:t>变更办理有关环保手续</w:t>
                  </w:r>
                  <w:r>
                    <w:rPr>
                      <w:rFonts w:hint="eastAsia"/>
                      <w:color w:val="auto"/>
                    </w:rPr>
                    <w:t>。</w:t>
                  </w:r>
                </w:p>
              </w:tc>
              <w:tc>
                <w:tcPr>
                  <w:tcW w:w="410" w:type="pct"/>
                  <w:vAlign w:val="center"/>
                </w:tcPr>
                <w:p w14:paraId="01F0FDE4">
                  <w:pPr>
                    <w:pStyle w:val="51"/>
                    <w:rPr>
                      <w:color w:val="auto"/>
                    </w:rPr>
                  </w:pPr>
                  <w:r>
                    <w:rPr>
                      <w:color w:val="auto"/>
                    </w:rPr>
                    <w:t>符合</w:t>
                  </w:r>
                </w:p>
              </w:tc>
            </w:tr>
            <w:tr w14:paraId="6125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pct"/>
                  <w:vAlign w:val="center"/>
                </w:tcPr>
                <w:p w14:paraId="67BF2ECB">
                  <w:pPr>
                    <w:pStyle w:val="51"/>
                    <w:rPr>
                      <w:color w:val="auto"/>
                    </w:rPr>
                  </w:pPr>
                  <w:r>
                    <w:rPr>
                      <w:rFonts w:hint="eastAsia"/>
                      <w:color w:val="auto"/>
                    </w:rPr>
                    <w:t>2</w:t>
                  </w:r>
                </w:p>
              </w:tc>
              <w:tc>
                <w:tcPr>
                  <w:tcW w:w="2401" w:type="pct"/>
                  <w:vAlign w:val="center"/>
                </w:tcPr>
                <w:p w14:paraId="02F9D06A">
                  <w:pPr>
                    <w:pStyle w:val="51"/>
                    <w:rPr>
                      <w:color w:val="auto"/>
                    </w:rPr>
                  </w:pPr>
                  <w:r>
                    <w:rPr>
                      <w:color w:val="auto"/>
                    </w:rPr>
                    <w:t>选择可行的污水处理技术</w:t>
                  </w:r>
                  <w:r>
                    <w:rPr>
                      <w:rFonts w:hint="eastAsia"/>
                      <w:color w:val="auto"/>
                    </w:rPr>
                    <w:t>：</w:t>
                  </w:r>
                  <w:r>
                    <w:rPr>
                      <w:color w:val="auto"/>
                    </w:rPr>
                    <w:t>企业重新梳理污水处理工艺的合理性，结合产生污水的特点，遵照化纤织造废水污染防治可行技术</w:t>
                  </w:r>
                  <w:r>
                    <w:rPr>
                      <w:rFonts w:hint="eastAsia"/>
                      <w:color w:val="auto"/>
                    </w:rPr>
                    <w:t>（</w:t>
                  </w:r>
                  <w:r>
                    <w:rPr>
                      <w:color w:val="auto"/>
                    </w:rPr>
                    <w:t>①格栅/筛网调节池+②混凝-气浮，三级排放</w:t>
                  </w:r>
                  <w:r>
                    <w:rPr>
                      <w:rFonts w:hint="eastAsia"/>
                      <w:color w:val="auto"/>
                    </w:rPr>
                    <w:t>；</w:t>
                  </w:r>
                  <w:r>
                    <w:rPr>
                      <w:color w:val="auto"/>
                    </w:rPr>
                    <w:t>①格栅/网调节池+②混凝-气浮+③好氧生物，二级排放</w:t>
                  </w:r>
                  <w:r>
                    <w:rPr>
                      <w:rFonts w:hint="eastAsia"/>
                      <w:color w:val="auto"/>
                    </w:rPr>
                    <w:t>；</w:t>
                  </w:r>
                  <w:r>
                    <w:rPr>
                      <w:color w:val="auto"/>
                    </w:rPr>
                    <w:t>①格栅/筛网-调节池+②混凝-气浮+③好氧生物</w:t>
                  </w:r>
                  <w:r>
                    <w:rPr>
                      <w:rFonts w:hint="eastAsia"/>
                      <w:color w:val="auto"/>
                    </w:rPr>
                    <w:t>；</w:t>
                  </w:r>
                  <w:r>
                    <w:rPr>
                      <w:color w:val="auto"/>
                    </w:rPr>
                    <w:t>①格栅/媂网-调节池+②混凝-气浮+③</w:t>
                  </w:r>
                  <w:r>
                    <w:rPr>
                      <w:rFonts w:hint="eastAsia"/>
                      <w:color w:val="auto"/>
                    </w:rPr>
                    <w:t>）</w:t>
                  </w:r>
                  <w:r>
                    <w:rPr>
                      <w:color w:val="auto"/>
                    </w:rPr>
                    <w:t>好</w:t>
                  </w:r>
                  <w:r>
                    <w:rPr>
                      <w:rFonts w:hint="eastAsia"/>
                      <w:color w:val="auto"/>
                    </w:rPr>
                    <w:t>氧</w:t>
                  </w:r>
                  <w:r>
                    <w:rPr>
                      <w:color w:val="auto"/>
                    </w:rPr>
                    <w:t>生物+混凝-气浮或沉淀，一级排放</w:t>
                  </w:r>
                  <w:r>
                    <w:rPr>
                      <w:rFonts w:hint="eastAsia"/>
                      <w:color w:val="auto"/>
                    </w:rPr>
                    <w:t>），</w:t>
                  </w:r>
                  <w:r>
                    <w:rPr>
                      <w:color w:val="auto"/>
                    </w:rPr>
                    <w:t>根据企业实际情况合理选择废水处理工艺。未经充分合理论证非必要不建议盲目增设废水生化处理工艺。</w:t>
                  </w:r>
                </w:p>
              </w:tc>
              <w:tc>
                <w:tcPr>
                  <w:tcW w:w="1898" w:type="pct"/>
                  <w:vAlign w:val="center"/>
                </w:tcPr>
                <w:p w14:paraId="5CF98C14">
                  <w:pPr>
                    <w:pStyle w:val="51"/>
                    <w:rPr>
                      <w:color w:val="auto"/>
                    </w:rPr>
                  </w:pPr>
                  <w:r>
                    <w:rPr>
                      <w:rFonts w:hint="eastAsia"/>
                      <w:color w:val="auto"/>
                    </w:rPr>
                    <w:t>本项目喷水织造废水经厂区污水处理站处理后全部回用于喷水织造、不外排；磨毛用水经捞渣后循环使用、不外排。污水处理站工艺为“</w:t>
                  </w:r>
                  <w:r>
                    <w:rPr>
                      <w:color w:val="auto"/>
                    </w:rPr>
                    <w:t>格栅+调节+</w:t>
                  </w:r>
                  <w:r>
                    <w:rPr>
                      <w:rFonts w:hint="default"/>
                      <w:color w:val="auto"/>
                      <w:lang w:val="en-US"/>
                    </w:rPr>
                    <w:t>混凝气浮+</w:t>
                  </w:r>
                  <w:r>
                    <w:rPr>
                      <w:rFonts w:hint="eastAsia"/>
                      <w:color w:val="auto"/>
                      <w:lang w:val="en-US" w:eastAsia="zh-CN"/>
                    </w:rPr>
                    <w:t>生化</w:t>
                  </w:r>
                  <w:r>
                    <w:rPr>
                      <w:color w:val="auto"/>
                    </w:rPr>
                    <w:t>+二沉+砂滤+碳滤</w:t>
                  </w:r>
                  <w:r>
                    <w:rPr>
                      <w:rFonts w:hint="eastAsia"/>
                      <w:color w:val="auto"/>
                    </w:rPr>
                    <w:t>”，属于可行的污水处理技术。</w:t>
                  </w:r>
                </w:p>
              </w:tc>
              <w:tc>
                <w:tcPr>
                  <w:tcW w:w="410" w:type="pct"/>
                  <w:vAlign w:val="center"/>
                </w:tcPr>
                <w:p w14:paraId="299DF1AC">
                  <w:pPr>
                    <w:pStyle w:val="51"/>
                    <w:rPr>
                      <w:color w:val="auto"/>
                    </w:rPr>
                  </w:pPr>
                  <w:r>
                    <w:rPr>
                      <w:color w:val="auto"/>
                    </w:rPr>
                    <w:t>符合</w:t>
                  </w:r>
                </w:p>
              </w:tc>
            </w:tr>
            <w:tr w14:paraId="1E98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pct"/>
                  <w:vAlign w:val="center"/>
                </w:tcPr>
                <w:p w14:paraId="3F362E6C">
                  <w:pPr>
                    <w:pStyle w:val="51"/>
                    <w:rPr>
                      <w:color w:val="auto"/>
                    </w:rPr>
                  </w:pPr>
                  <w:r>
                    <w:rPr>
                      <w:rFonts w:hint="eastAsia"/>
                      <w:color w:val="auto"/>
                    </w:rPr>
                    <w:t>3</w:t>
                  </w:r>
                </w:p>
              </w:tc>
              <w:tc>
                <w:tcPr>
                  <w:tcW w:w="2401" w:type="pct"/>
                  <w:vAlign w:val="center"/>
                </w:tcPr>
                <w:p w14:paraId="66C5F627">
                  <w:pPr>
                    <w:pStyle w:val="51"/>
                    <w:rPr>
                      <w:color w:val="auto"/>
                    </w:rPr>
                  </w:pPr>
                  <w:r>
                    <w:rPr>
                      <w:color w:val="auto"/>
                    </w:rPr>
                    <w:t>正常运行废气处置设施并重视无组织排放管理</w:t>
                  </w:r>
                  <w:r>
                    <w:rPr>
                      <w:rFonts w:hint="eastAsia"/>
                      <w:color w:val="auto"/>
                    </w:rPr>
                    <w:t>：</w:t>
                  </w:r>
                  <w:r>
                    <w:rPr>
                      <w:color w:val="auto"/>
                    </w:rPr>
                    <w:t>涉及VOCs排放的宜采用喷淋洗涤</w:t>
                  </w:r>
                  <w:r>
                    <w:rPr>
                      <w:rFonts w:hint="eastAsia"/>
                      <w:color w:val="auto"/>
                    </w:rPr>
                    <w:t>（</w:t>
                  </w:r>
                  <w:r>
                    <w:rPr>
                      <w:color w:val="auto"/>
                    </w:rPr>
                    <w:t>除湿</w:t>
                  </w:r>
                  <w:r>
                    <w:rPr>
                      <w:rFonts w:hint="eastAsia"/>
                      <w:color w:val="auto"/>
                    </w:rPr>
                    <w:t>）</w:t>
                  </w:r>
                  <w:r>
                    <w:rPr>
                      <w:color w:val="auto"/>
                    </w:rPr>
                    <w:t>+活性炭吸附方式处理，治理设施定期维护保养，做好记录，活性炭定期更换，保留采购发票，合格证、检验报告等材料备查。企业应按排污许可证载明的各类污染因子和频次开展自行检测依据检测结果及时评估废气治理设施运行状态。鼓励有上浆涂层工艺的企业，采取更加高效的工艺废气收集和处理措施。对VOCs无组织排放情况应在密闭空间作业，保证设备正常运转，提高收集效率，贯彻落实《挥发性有机物无组织排放控制标准》</w:t>
                  </w:r>
                  <w:r>
                    <w:rPr>
                      <w:rFonts w:hint="eastAsia"/>
                      <w:color w:val="auto"/>
                    </w:rPr>
                    <w:t>（</w:t>
                  </w:r>
                  <w:r>
                    <w:rPr>
                      <w:color w:val="auto"/>
                    </w:rPr>
                    <w:t>GB37822-2019</w:t>
                  </w:r>
                  <w:r>
                    <w:rPr>
                      <w:rFonts w:hint="eastAsia"/>
                      <w:color w:val="auto"/>
                    </w:rPr>
                    <w:t>）</w:t>
                  </w:r>
                  <w:r>
                    <w:rPr>
                      <w:color w:val="auto"/>
                    </w:rPr>
                    <w:t>要求。</w:t>
                  </w:r>
                </w:p>
              </w:tc>
              <w:tc>
                <w:tcPr>
                  <w:tcW w:w="1898" w:type="pct"/>
                  <w:vAlign w:val="center"/>
                </w:tcPr>
                <w:p w14:paraId="1E597068">
                  <w:pPr>
                    <w:pStyle w:val="51"/>
                    <w:rPr>
                      <w:color w:val="auto"/>
                    </w:rPr>
                  </w:pPr>
                  <w:r>
                    <w:rPr>
                      <w:color w:val="auto"/>
                    </w:rPr>
                    <w:t>本项目</w:t>
                  </w:r>
                  <w:r>
                    <w:rPr>
                      <w:rFonts w:hint="eastAsia"/>
                      <w:color w:val="auto"/>
                    </w:rPr>
                    <w:t>1~5#、6~10#、11~15#、16</w:t>
                  </w:r>
                  <w:r>
                    <w:rPr>
                      <w:rFonts w:hint="eastAsia"/>
                      <w:color w:val="auto"/>
                      <w:lang w:val="en-US" w:eastAsia="zh-CN"/>
                    </w:rPr>
                    <w:t>~</w:t>
                  </w:r>
                  <w:r>
                    <w:rPr>
                      <w:rFonts w:hint="eastAsia"/>
                      <w:color w:val="auto"/>
                    </w:rPr>
                    <w:t>20#加弹机产生的有机废气NMHC经自带管道收集后分别由1#~4#高压静电处理后通过4根15m排气筒（DA001~DA004）达标排放，危废仓库废气NMHC经负压风管收集后由1#高压静电油烟净化器处理后通过1根15m排气筒（DA001）达标排放，未收集到的NMHC</w:t>
                  </w:r>
                  <w:r>
                    <w:rPr>
                      <w:color w:val="auto"/>
                    </w:rPr>
                    <w:t>无组织废气在车间内排放</w:t>
                  </w:r>
                  <w:r>
                    <w:rPr>
                      <w:rFonts w:hint="eastAsia"/>
                      <w:color w:val="auto"/>
                    </w:rPr>
                    <w:t>，经采取以上措施能够</w:t>
                  </w:r>
                  <w:r>
                    <w:rPr>
                      <w:color w:val="auto"/>
                    </w:rPr>
                    <w:t>满足环境管理要求。</w:t>
                  </w:r>
                </w:p>
              </w:tc>
              <w:tc>
                <w:tcPr>
                  <w:tcW w:w="410" w:type="pct"/>
                  <w:vAlign w:val="center"/>
                </w:tcPr>
                <w:p w14:paraId="1475E174">
                  <w:pPr>
                    <w:pStyle w:val="51"/>
                    <w:rPr>
                      <w:color w:val="auto"/>
                    </w:rPr>
                  </w:pPr>
                  <w:r>
                    <w:rPr>
                      <w:color w:val="auto"/>
                    </w:rPr>
                    <w:t>符合</w:t>
                  </w:r>
                </w:p>
              </w:tc>
            </w:tr>
            <w:tr w14:paraId="22EF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pct"/>
                  <w:vAlign w:val="center"/>
                </w:tcPr>
                <w:p w14:paraId="2E906822">
                  <w:pPr>
                    <w:pStyle w:val="51"/>
                    <w:rPr>
                      <w:color w:val="auto"/>
                    </w:rPr>
                  </w:pPr>
                  <w:r>
                    <w:rPr>
                      <w:rFonts w:hint="eastAsia"/>
                      <w:color w:val="auto"/>
                    </w:rPr>
                    <w:t>4</w:t>
                  </w:r>
                </w:p>
              </w:tc>
              <w:tc>
                <w:tcPr>
                  <w:tcW w:w="2401" w:type="pct"/>
                  <w:vAlign w:val="center"/>
                </w:tcPr>
                <w:p w14:paraId="29012BEF">
                  <w:pPr>
                    <w:pStyle w:val="51"/>
                    <w:rPr>
                      <w:color w:val="auto"/>
                    </w:rPr>
                  </w:pPr>
                  <w:r>
                    <w:rPr>
                      <w:color w:val="auto"/>
                    </w:rPr>
                    <w:t>进一步明确污水处理污泥属性</w:t>
                  </w:r>
                  <w:r>
                    <w:rPr>
                      <w:rFonts w:hint="eastAsia"/>
                      <w:color w:val="auto"/>
                    </w:rPr>
                    <w:t>：</w:t>
                  </w:r>
                  <w:r>
                    <w:rPr>
                      <w:color w:val="auto"/>
                    </w:rPr>
                    <w:t>根据《国家危险废物名录》含油废水处理中隔油、气浮、沉淀等处理过程中产生的浮油、浮渣和物化污泥属于危险废物，应按危险废物要求进行规范化管理，交有资质单位处置或利用，鼓励产废单位使用高效压滤设备最大程度降低污泥含水率，实施</w:t>
                  </w:r>
                  <w:r>
                    <w:rPr>
                      <w:rFonts w:hint="eastAsia"/>
                      <w:color w:val="auto"/>
                    </w:rPr>
                    <w:t>“</w:t>
                  </w:r>
                  <w:r>
                    <w:rPr>
                      <w:color w:val="auto"/>
                    </w:rPr>
                    <w:t>减量化</w:t>
                  </w:r>
                  <w:r>
                    <w:rPr>
                      <w:rFonts w:hint="eastAsia"/>
                      <w:color w:val="auto"/>
                    </w:rPr>
                    <w:t>”</w:t>
                  </w:r>
                  <w:r>
                    <w:rPr>
                      <w:color w:val="auto"/>
                    </w:rPr>
                    <w:t>操作。</w:t>
                  </w:r>
                </w:p>
              </w:tc>
              <w:tc>
                <w:tcPr>
                  <w:tcW w:w="1898" w:type="pct"/>
                  <w:vAlign w:val="center"/>
                </w:tcPr>
                <w:p w14:paraId="1C586570">
                  <w:pPr>
                    <w:pStyle w:val="51"/>
                    <w:rPr>
                      <w:color w:val="auto"/>
                    </w:rPr>
                  </w:pPr>
                  <w:r>
                    <w:rPr>
                      <w:rFonts w:hint="default"/>
                      <w:color w:val="auto"/>
                    </w:rPr>
                    <w:t>本项目</w:t>
                  </w:r>
                  <w:r>
                    <w:rPr>
                      <w:rFonts w:hint="eastAsia"/>
                      <w:color w:val="auto"/>
                      <w:lang w:val="en-US" w:eastAsia="zh-CN"/>
                    </w:rPr>
                    <w:t>污水处理站处理喷水织造废水会</w:t>
                  </w:r>
                  <w:r>
                    <w:rPr>
                      <w:rFonts w:hint="default"/>
                      <w:color w:val="auto"/>
                    </w:rPr>
                    <w:t>产生</w:t>
                  </w:r>
                  <w:r>
                    <w:rPr>
                      <w:rFonts w:hint="eastAsia"/>
                      <w:color w:val="auto"/>
                      <w:lang w:val="en-US" w:eastAsia="zh-CN"/>
                    </w:rPr>
                    <w:t>生化污泥和物化污泥。生化污泥处置前需经过鉴定，如具有危险特性，则委托有资质单位处理；如不具有危险特性，则外售综合利用，鉴定前当危废暂存于危废库中。物化污泥对照</w:t>
                  </w:r>
                  <w:r>
                    <w:rPr>
                      <w:rFonts w:hint="default"/>
                      <w:color w:val="auto"/>
                      <w:lang w:val="en-US" w:eastAsia="zh-CN"/>
                    </w:rPr>
                    <w:t>《国家危险废物名录</w:t>
                  </w:r>
                  <w:r>
                    <w:rPr>
                      <w:rFonts w:hint="eastAsia"/>
                      <w:color w:val="auto"/>
                    </w:rPr>
                    <w:t>（</w:t>
                  </w:r>
                  <w:r>
                    <w:rPr>
                      <w:color w:val="auto"/>
                    </w:rPr>
                    <w:t>202</w:t>
                  </w:r>
                  <w:r>
                    <w:rPr>
                      <w:rFonts w:hint="eastAsia"/>
                      <w:color w:val="auto"/>
                      <w:lang w:val="en-US" w:eastAsia="zh-CN"/>
                    </w:rPr>
                    <w:t>5</w:t>
                  </w:r>
                  <w:r>
                    <w:rPr>
                      <w:color w:val="auto"/>
                    </w:rPr>
                    <w:t>年版</w:t>
                  </w:r>
                  <w:r>
                    <w:rPr>
                      <w:rFonts w:hint="eastAsia"/>
                      <w:color w:val="auto"/>
                    </w:rPr>
                    <w:t>）</w:t>
                  </w:r>
                  <w:r>
                    <w:rPr>
                      <w:color w:val="auto"/>
                    </w:rPr>
                    <w:t>》</w:t>
                  </w:r>
                  <w:r>
                    <w:rPr>
                      <w:rFonts w:hint="eastAsia"/>
                      <w:color w:val="auto"/>
                      <w:lang w:val="en-US" w:eastAsia="zh-CN"/>
                    </w:rPr>
                    <w:t>，</w:t>
                  </w:r>
                  <w:r>
                    <w:rPr>
                      <w:rFonts w:hint="default"/>
                      <w:color w:val="auto"/>
                    </w:rPr>
                    <w:t>属于危险废物（HW49，</w:t>
                  </w:r>
                  <w:r>
                    <w:rPr>
                      <w:rFonts w:hint="eastAsia"/>
                      <w:color w:val="auto"/>
                      <w:lang w:val="en-US" w:eastAsia="zh-CN"/>
                    </w:rPr>
                    <w:t>772-006-49</w:t>
                  </w:r>
                  <w:r>
                    <w:rPr>
                      <w:rFonts w:hint="default"/>
                      <w:color w:val="auto"/>
                    </w:rPr>
                    <w:t>），收集后暂存危废仓库，定期委托有资质单位处理。</w:t>
                  </w:r>
                </w:p>
              </w:tc>
              <w:tc>
                <w:tcPr>
                  <w:tcW w:w="410" w:type="pct"/>
                  <w:vAlign w:val="center"/>
                </w:tcPr>
                <w:p w14:paraId="13B80400">
                  <w:pPr>
                    <w:pStyle w:val="51"/>
                    <w:rPr>
                      <w:color w:val="auto"/>
                    </w:rPr>
                  </w:pPr>
                  <w:r>
                    <w:rPr>
                      <w:color w:val="auto"/>
                    </w:rPr>
                    <w:t>符合</w:t>
                  </w:r>
                </w:p>
              </w:tc>
            </w:tr>
            <w:tr w14:paraId="3A71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pct"/>
                  <w:vAlign w:val="center"/>
                </w:tcPr>
                <w:p w14:paraId="52AC3EB0">
                  <w:pPr>
                    <w:pStyle w:val="51"/>
                    <w:rPr>
                      <w:color w:val="auto"/>
                    </w:rPr>
                  </w:pPr>
                  <w:r>
                    <w:rPr>
                      <w:rFonts w:hint="eastAsia"/>
                      <w:color w:val="auto"/>
                    </w:rPr>
                    <w:t>5</w:t>
                  </w:r>
                </w:p>
              </w:tc>
              <w:tc>
                <w:tcPr>
                  <w:tcW w:w="2401" w:type="pct"/>
                  <w:vAlign w:val="center"/>
                </w:tcPr>
                <w:p w14:paraId="54896B96">
                  <w:pPr>
                    <w:pStyle w:val="51"/>
                    <w:rPr>
                      <w:color w:val="auto"/>
                    </w:rPr>
                  </w:pPr>
                  <w:r>
                    <w:rPr>
                      <w:color w:val="auto"/>
                    </w:rPr>
                    <w:t>强化固体废物的规范化管理</w:t>
                  </w:r>
                  <w:r>
                    <w:rPr>
                      <w:rFonts w:hint="eastAsia"/>
                      <w:color w:val="auto"/>
                    </w:rPr>
                    <w:t>：</w:t>
                  </w:r>
                  <w:r>
                    <w:rPr>
                      <w:color w:val="auto"/>
                    </w:rPr>
                    <w:t>喷水织造企业产生的一般固体废物主要有废丝、废布，优先采用资源化利用方式，贮存设施符合《一般工业固体废物贮存、填埋污染物控制标准》</w:t>
                  </w:r>
                  <w:r>
                    <w:rPr>
                      <w:rFonts w:hint="eastAsia"/>
                      <w:color w:val="auto"/>
                    </w:rPr>
                    <w:t>（</w:t>
                  </w:r>
                  <w:r>
                    <w:rPr>
                      <w:color w:val="auto"/>
                    </w:rPr>
                    <w:t>GB18599-2020</w:t>
                  </w:r>
                  <w:r>
                    <w:rPr>
                      <w:rFonts w:hint="eastAsia"/>
                      <w:color w:val="auto"/>
                    </w:rPr>
                    <w:t>）</w:t>
                  </w:r>
                  <w:r>
                    <w:rPr>
                      <w:color w:val="auto"/>
                    </w:rPr>
                    <w:t>。废矿物油及含废矿物油废物等危险废物，应委托有资质单位进行利用处置，危废贮存设施符合《危险废物贮存污染控制标准》</w:t>
                  </w:r>
                  <w:r>
                    <w:rPr>
                      <w:rFonts w:hint="eastAsia"/>
                      <w:color w:val="auto"/>
                    </w:rPr>
                    <w:t>（</w:t>
                  </w:r>
                  <w:r>
                    <w:rPr>
                      <w:color w:val="auto"/>
                    </w:rPr>
                    <w:t>GB18597-2001</w:t>
                  </w:r>
                  <w:r>
                    <w:rPr>
                      <w:rFonts w:hint="eastAsia"/>
                      <w:color w:val="auto"/>
                    </w:rPr>
                    <w:t>）</w:t>
                  </w:r>
                  <w:r>
                    <w:rPr>
                      <w:color w:val="auto"/>
                    </w:rPr>
                    <w:t>。</w:t>
                  </w:r>
                </w:p>
              </w:tc>
              <w:tc>
                <w:tcPr>
                  <w:tcW w:w="1898" w:type="pct"/>
                  <w:vAlign w:val="center"/>
                </w:tcPr>
                <w:p w14:paraId="660EE3E7">
                  <w:pPr>
                    <w:pStyle w:val="51"/>
                    <w:rPr>
                      <w:color w:val="auto"/>
                    </w:rPr>
                  </w:pPr>
                  <w:r>
                    <w:rPr>
                      <w:rFonts w:hint="eastAsia"/>
                      <w:color w:val="auto"/>
                    </w:rPr>
                    <w:t>本项目产生的废丝、废磨毛料、废布、废包装材料、废过滤介质收集后暂存一般固废库，定期外售综合利用。一般固废贮存满足《一般工业固体废物贮存、填埋污染物控制标准》（GB</w:t>
                  </w:r>
                  <w:r>
                    <w:rPr>
                      <w:rFonts w:hint="eastAsia"/>
                      <w:color w:val="auto"/>
                      <w:lang w:val="en-US" w:eastAsia="zh-CN"/>
                    </w:rPr>
                    <w:t xml:space="preserve"> </w:t>
                  </w:r>
                  <w:r>
                    <w:rPr>
                      <w:rFonts w:hint="eastAsia"/>
                      <w:color w:val="auto"/>
                    </w:rPr>
                    <w:t>18599-2020）要求。物化污泥、废加弹油、废机油、废机油桶暂存于危废库，定期委托有资质单位处理，危废贮存满足《危险废物贮存污染控制标准》（GB18597-2001）要求。其中，生化污泥处置前需经过鉴定，如具有危险特性，则委托有资质单位处理；如不具有危险特性，则外售综合利用，鉴定前当危废暂存于危废库中。</w:t>
                  </w:r>
                </w:p>
              </w:tc>
              <w:tc>
                <w:tcPr>
                  <w:tcW w:w="410" w:type="pct"/>
                  <w:shd w:val="clear" w:color="auto" w:fill="auto"/>
                  <w:vAlign w:val="center"/>
                </w:tcPr>
                <w:p w14:paraId="66209220">
                  <w:pPr>
                    <w:pStyle w:val="51"/>
                    <w:rPr>
                      <w:color w:val="auto"/>
                    </w:rPr>
                  </w:pPr>
                  <w:r>
                    <w:rPr>
                      <w:color w:val="auto"/>
                    </w:rPr>
                    <w:t>符合</w:t>
                  </w:r>
                </w:p>
              </w:tc>
            </w:tr>
          </w:tbl>
          <w:p w14:paraId="7E039A30">
            <w:pPr>
              <w:pStyle w:val="47"/>
              <w:ind w:firstLine="480"/>
              <w:rPr>
                <w:color w:val="auto"/>
              </w:rPr>
            </w:pPr>
            <w:r>
              <w:rPr>
                <w:color w:val="auto"/>
              </w:rPr>
              <w:t>由</w:t>
            </w:r>
            <w:r>
              <w:rPr>
                <w:color w:val="auto"/>
              </w:rPr>
              <w:fldChar w:fldCharType="begin"/>
            </w:r>
            <w:r>
              <w:rPr>
                <w:color w:val="auto"/>
              </w:rPr>
              <w:instrText xml:space="preserve"> REF _Ref28754 \h </w:instrText>
            </w:r>
            <w:r>
              <w:rPr>
                <w:color w:val="auto"/>
              </w:rPr>
              <w:fldChar w:fldCharType="separate"/>
            </w:r>
            <w:r>
              <w:rPr>
                <w:color w:val="auto"/>
              </w:rPr>
              <w:t>表1- 7</w:t>
            </w:r>
            <w:r>
              <w:rPr>
                <w:color w:val="auto"/>
              </w:rPr>
              <w:fldChar w:fldCharType="end"/>
            </w:r>
            <w:r>
              <w:rPr>
                <w:color w:val="auto"/>
              </w:rPr>
              <w:t>可知，本</w:t>
            </w:r>
            <w:r>
              <w:rPr>
                <w:rFonts w:hint="eastAsia"/>
                <w:color w:val="auto"/>
              </w:rPr>
              <w:t>项目符合</w:t>
            </w:r>
            <w:r>
              <w:rPr>
                <w:color w:val="auto"/>
              </w:rPr>
              <w:t>《加强喷水织造企业环境管理的工作意见》</w:t>
            </w:r>
            <w:r>
              <w:rPr>
                <w:rFonts w:hint="eastAsia"/>
                <w:color w:val="auto"/>
              </w:rPr>
              <w:t>（</w:t>
            </w:r>
            <w:r>
              <w:rPr>
                <w:color w:val="auto"/>
              </w:rPr>
              <w:t>泗环发〔</w:t>
            </w:r>
            <w:r>
              <w:rPr>
                <w:rFonts w:hint="eastAsia"/>
                <w:color w:val="auto"/>
              </w:rPr>
              <w:t>2021</w:t>
            </w:r>
            <w:r>
              <w:rPr>
                <w:color w:val="auto"/>
              </w:rPr>
              <w:t>〕</w:t>
            </w:r>
            <w:r>
              <w:rPr>
                <w:rFonts w:hint="eastAsia"/>
                <w:color w:val="auto"/>
              </w:rPr>
              <w:t>5</w:t>
            </w:r>
            <w:r>
              <w:rPr>
                <w:color w:val="auto"/>
              </w:rPr>
              <w:t>1号</w:t>
            </w:r>
            <w:r>
              <w:rPr>
                <w:rFonts w:hint="eastAsia"/>
                <w:color w:val="auto"/>
              </w:rPr>
              <w:t>）的相关要求</w:t>
            </w:r>
            <w:r>
              <w:rPr>
                <w:color w:val="auto"/>
              </w:rPr>
              <w:t>。</w:t>
            </w:r>
          </w:p>
          <w:p w14:paraId="6C15D75E">
            <w:pPr>
              <w:pStyle w:val="47"/>
              <w:ind w:firstLine="482"/>
              <w:rPr>
                <w:b/>
                <w:bCs/>
                <w:color w:val="auto"/>
              </w:rPr>
            </w:pPr>
            <w:r>
              <w:rPr>
                <w:rFonts w:hint="eastAsia"/>
                <w:b/>
                <w:bCs/>
                <w:color w:val="auto"/>
              </w:rPr>
              <w:t>5</w:t>
            </w:r>
            <w:r>
              <w:rPr>
                <w:b/>
                <w:bCs/>
                <w:color w:val="auto"/>
              </w:rPr>
              <w:t>、与《泗阳县纺织印染行业环境问题整治方案的通知》</w:t>
            </w:r>
            <w:r>
              <w:rPr>
                <w:rFonts w:hint="eastAsia"/>
                <w:b/>
                <w:bCs/>
                <w:color w:val="auto"/>
              </w:rPr>
              <w:t>（</w:t>
            </w:r>
            <w:r>
              <w:rPr>
                <w:b/>
                <w:bCs/>
                <w:color w:val="auto"/>
              </w:rPr>
              <w:t>泗环发〔</w:t>
            </w:r>
            <w:r>
              <w:rPr>
                <w:rFonts w:hint="eastAsia"/>
                <w:b/>
                <w:bCs/>
                <w:color w:val="auto"/>
              </w:rPr>
              <w:t>2023</w:t>
            </w:r>
            <w:r>
              <w:rPr>
                <w:b/>
                <w:bCs/>
                <w:color w:val="auto"/>
              </w:rPr>
              <w:t>〕13号</w:t>
            </w:r>
            <w:r>
              <w:rPr>
                <w:rFonts w:hint="eastAsia"/>
                <w:b/>
                <w:bCs/>
                <w:color w:val="auto"/>
              </w:rPr>
              <w:t>）</w:t>
            </w:r>
            <w:r>
              <w:rPr>
                <w:b/>
                <w:bCs/>
                <w:color w:val="auto"/>
              </w:rPr>
              <w:t>相符性分析</w:t>
            </w:r>
          </w:p>
          <w:p w14:paraId="64F50143">
            <w:pPr>
              <w:pStyle w:val="47"/>
              <w:ind w:firstLine="480"/>
              <w:rPr>
                <w:color w:val="auto"/>
              </w:rPr>
            </w:pPr>
            <w:r>
              <w:rPr>
                <w:color w:val="auto"/>
              </w:rPr>
              <w:t>根据《泗阳县纺织印染行业环境问题整治方案的通知》</w:t>
            </w:r>
            <w:r>
              <w:rPr>
                <w:rFonts w:hint="eastAsia"/>
                <w:color w:val="auto"/>
              </w:rPr>
              <w:t>（</w:t>
            </w:r>
            <w:r>
              <w:rPr>
                <w:color w:val="auto"/>
              </w:rPr>
              <w:t>泗环发〔</w:t>
            </w:r>
            <w:r>
              <w:rPr>
                <w:rFonts w:hint="eastAsia"/>
                <w:color w:val="auto"/>
              </w:rPr>
              <w:t>2023</w:t>
            </w:r>
            <w:r>
              <w:rPr>
                <w:color w:val="auto"/>
              </w:rPr>
              <w:t>〕13号</w:t>
            </w:r>
            <w:r>
              <w:rPr>
                <w:rFonts w:hint="eastAsia"/>
                <w:color w:val="auto"/>
              </w:rPr>
              <w:t>）</w:t>
            </w:r>
            <w:r>
              <w:rPr>
                <w:color w:val="auto"/>
              </w:rPr>
              <w:t>要求，本项目相符性见</w:t>
            </w:r>
            <w:r>
              <w:rPr>
                <w:color w:val="auto"/>
              </w:rPr>
              <w:fldChar w:fldCharType="begin"/>
            </w:r>
            <w:r>
              <w:rPr>
                <w:color w:val="auto"/>
              </w:rPr>
              <w:instrText xml:space="preserve"> REF _Ref10084 \h </w:instrText>
            </w:r>
            <w:r>
              <w:rPr>
                <w:color w:val="auto"/>
              </w:rPr>
              <w:fldChar w:fldCharType="separate"/>
            </w:r>
            <w:r>
              <w:rPr>
                <w:color w:val="auto"/>
              </w:rPr>
              <w:t>表1- 8</w:t>
            </w:r>
            <w:r>
              <w:rPr>
                <w:color w:val="auto"/>
              </w:rPr>
              <w:fldChar w:fldCharType="end"/>
            </w:r>
            <w:r>
              <w:rPr>
                <w:color w:val="auto"/>
              </w:rPr>
              <w:t>。</w:t>
            </w:r>
          </w:p>
          <w:p w14:paraId="5993ED7E">
            <w:pPr>
              <w:pStyle w:val="7"/>
              <w:rPr>
                <w:color w:val="auto"/>
              </w:rPr>
            </w:pPr>
            <w:bookmarkStart w:id="15" w:name="_Ref10084"/>
            <w:r>
              <w:rPr>
                <w:color w:val="auto"/>
              </w:rPr>
              <w:t xml:space="preserve">表1- </w:t>
            </w:r>
            <w:r>
              <w:rPr>
                <w:color w:val="auto"/>
              </w:rPr>
              <w:fldChar w:fldCharType="begin"/>
            </w:r>
            <w:r>
              <w:rPr>
                <w:color w:val="auto"/>
              </w:rPr>
              <w:instrText xml:space="preserve"> SEQ 表1- \* ARABIC </w:instrText>
            </w:r>
            <w:r>
              <w:rPr>
                <w:color w:val="auto"/>
              </w:rPr>
              <w:fldChar w:fldCharType="separate"/>
            </w:r>
            <w:r>
              <w:rPr>
                <w:color w:val="auto"/>
              </w:rPr>
              <w:t>8</w:t>
            </w:r>
            <w:r>
              <w:rPr>
                <w:color w:val="auto"/>
              </w:rPr>
              <w:fldChar w:fldCharType="end"/>
            </w:r>
            <w:bookmarkEnd w:id="15"/>
            <w:r>
              <w:rPr>
                <w:color w:val="auto"/>
              </w:rPr>
              <w:t xml:space="preserve"> </w:t>
            </w:r>
            <w:r>
              <w:rPr>
                <w:rFonts w:hint="eastAsia"/>
                <w:color w:val="auto"/>
              </w:rPr>
              <w:t>项目</w:t>
            </w:r>
            <w:r>
              <w:rPr>
                <w:color w:val="auto"/>
              </w:rPr>
              <w:t>与</w:t>
            </w:r>
            <w:r>
              <w:rPr>
                <w:rFonts w:hint="eastAsia"/>
                <w:color w:val="auto"/>
              </w:rPr>
              <w:t>“</w:t>
            </w:r>
            <w:r>
              <w:rPr>
                <w:color w:val="auto"/>
              </w:rPr>
              <w:t>泗环发〔</w:t>
            </w:r>
            <w:r>
              <w:rPr>
                <w:rFonts w:hint="eastAsia"/>
                <w:color w:val="auto"/>
              </w:rPr>
              <w:t>2023</w:t>
            </w:r>
            <w:r>
              <w:rPr>
                <w:color w:val="auto"/>
              </w:rPr>
              <w:t>〕13号</w:t>
            </w:r>
            <w:r>
              <w:rPr>
                <w:rFonts w:hint="eastAsia"/>
                <w:color w:val="auto"/>
              </w:rPr>
              <w:t>”</w:t>
            </w:r>
            <w:r>
              <w:rPr>
                <w:color w:val="auto"/>
              </w:rPr>
              <w:t>相符性分析</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3983"/>
              <w:gridCol w:w="2930"/>
              <w:gridCol w:w="666"/>
            </w:tblGrid>
            <w:tr w14:paraId="612C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34" w:type="pct"/>
                  <w:vAlign w:val="center"/>
                </w:tcPr>
                <w:p w14:paraId="29E774BF">
                  <w:pPr>
                    <w:pStyle w:val="49"/>
                    <w:rPr>
                      <w:color w:val="auto"/>
                    </w:rPr>
                  </w:pPr>
                  <w:r>
                    <w:rPr>
                      <w:color w:val="auto"/>
                    </w:rPr>
                    <w:t>序号</w:t>
                  </w:r>
                </w:p>
              </w:tc>
              <w:tc>
                <w:tcPr>
                  <w:tcW w:w="2451" w:type="pct"/>
                  <w:vAlign w:val="center"/>
                </w:tcPr>
                <w:p w14:paraId="783917D8">
                  <w:pPr>
                    <w:pStyle w:val="49"/>
                    <w:rPr>
                      <w:color w:val="auto"/>
                    </w:rPr>
                  </w:pPr>
                  <w:r>
                    <w:rPr>
                      <w:color w:val="auto"/>
                    </w:rPr>
                    <w:t>文件要求</w:t>
                  </w:r>
                </w:p>
              </w:tc>
              <w:tc>
                <w:tcPr>
                  <w:tcW w:w="1803" w:type="pct"/>
                  <w:vAlign w:val="center"/>
                </w:tcPr>
                <w:p w14:paraId="225A5382">
                  <w:pPr>
                    <w:pStyle w:val="49"/>
                    <w:rPr>
                      <w:color w:val="auto"/>
                    </w:rPr>
                  </w:pPr>
                  <w:r>
                    <w:rPr>
                      <w:rFonts w:hint="eastAsia"/>
                      <w:color w:val="auto"/>
                    </w:rPr>
                    <w:t>本</w:t>
                  </w:r>
                  <w:r>
                    <w:rPr>
                      <w:color w:val="auto"/>
                    </w:rPr>
                    <w:t>项目情况</w:t>
                  </w:r>
                </w:p>
              </w:tc>
              <w:tc>
                <w:tcPr>
                  <w:tcW w:w="410" w:type="pct"/>
                  <w:vAlign w:val="center"/>
                </w:tcPr>
                <w:p w14:paraId="25DB035B">
                  <w:pPr>
                    <w:pStyle w:val="49"/>
                    <w:rPr>
                      <w:color w:val="auto"/>
                    </w:rPr>
                  </w:pPr>
                  <w:r>
                    <w:rPr>
                      <w:color w:val="auto"/>
                    </w:rPr>
                    <w:t>相符性</w:t>
                  </w:r>
                </w:p>
              </w:tc>
            </w:tr>
            <w:tr w14:paraId="2D7E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34" w:type="pct"/>
                  <w:vAlign w:val="center"/>
                </w:tcPr>
                <w:p w14:paraId="089BB430">
                  <w:pPr>
                    <w:pStyle w:val="51"/>
                    <w:rPr>
                      <w:color w:val="auto"/>
                    </w:rPr>
                  </w:pPr>
                  <w:r>
                    <w:rPr>
                      <w:rFonts w:hint="eastAsia"/>
                      <w:color w:val="auto"/>
                    </w:rPr>
                    <w:t>1</w:t>
                  </w:r>
                </w:p>
              </w:tc>
              <w:tc>
                <w:tcPr>
                  <w:tcW w:w="2451" w:type="pct"/>
                  <w:vAlign w:val="center"/>
                </w:tcPr>
                <w:p w14:paraId="4B13D7B5">
                  <w:pPr>
                    <w:pStyle w:val="51"/>
                    <w:rPr>
                      <w:color w:val="auto"/>
                    </w:rPr>
                  </w:pPr>
                  <w:r>
                    <w:rPr>
                      <w:color w:val="auto"/>
                    </w:rPr>
                    <w:t>有组织废气收集率不低于90%，纺织工业废气排放应满足H</w:t>
                  </w:r>
                  <w:r>
                    <w:rPr>
                      <w:rFonts w:hint="eastAsia"/>
                      <w:color w:val="auto"/>
                    </w:rPr>
                    <w:t xml:space="preserve"> </w:t>
                  </w:r>
                  <w:r>
                    <w:rPr>
                      <w:color w:val="auto"/>
                    </w:rPr>
                    <w:t>I861、GB</w:t>
                  </w:r>
                  <w:r>
                    <w:rPr>
                      <w:rFonts w:hint="eastAsia"/>
                      <w:color w:val="auto"/>
                    </w:rPr>
                    <w:t xml:space="preserve"> </w:t>
                  </w:r>
                  <w:r>
                    <w:rPr>
                      <w:color w:val="auto"/>
                    </w:rPr>
                    <w:t>14554、GB</w:t>
                  </w:r>
                  <w:r>
                    <w:rPr>
                      <w:rFonts w:hint="eastAsia"/>
                      <w:color w:val="auto"/>
                    </w:rPr>
                    <w:t xml:space="preserve"> </w:t>
                  </w:r>
                  <w:r>
                    <w:rPr>
                      <w:color w:val="auto"/>
                    </w:rPr>
                    <w:t>16297和GB</w:t>
                  </w:r>
                  <w:r>
                    <w:rPr>
                      <w:rFonts w:hint="eastAsia"/>
                      <w:color w:val="auto"/>
                    </w:rPr>
                    <w:t xml:space="preserve"> </w:t>
                  </w:r>
                  <w:r>
                    <w:rPr>
                      <w:color w:val="auto"/>
                    </w:rPr>
                    <w:t>37822的要求。加弹废气主要为颗粒物、油烟等物质，需要进行废气收集，收集效率不低于90%。</w:t>
                  </w:r>
                </w:p>
              </w:tc>
              <w:tc>
                <w:tcPr>
                  <w:tcW w:w="1803" w:type="pct"/>
                  <w:vAlign w:val="center"/>
                </w:tcPr>
                <w:p w14:paraId="70FB6DFF">
                  <w:pPr>
                    <w:pStyle w:val="51"/>
                    <w:rPr>
                      <w:color w:val="auto"/>
                    </w:rPr>
                  </w:pPr>
                  <w:r>
                    <w:rPr>
                      <w:rFonts w:hint="eastAsia"/>
                      <w:color w:val="auto"/>
                    </w:rPr>
                    <w:t>本项目加弹废气NMHC采用加弹机自带管道收集，危废仓库废气NMHC采用负压风管收集，收集效率为95%。</w:t>
                  </w:r>
                </w:p>
              </w:tc>
              <w:tc>
                <w:tcPr>
                  <w:tcW w:w="410" w:type="pct"/>
                  <w:vAlign w:val="center"/>
                </w:tcPr>
                <w:p w14:paraId="50C8947D">
                  <w:pPr>
                    <w:pStyle w:val="51"/>
                    <w:rPr>
                      <w:color w:val="auto"/>
                    </w:rPr>
                  </w:pPr>
                  <w:r>
                    <w:rPr>
                      <w:color w:val="auto"/>
                    </w:rPr>
                    <w:t>符合</w:t>
                  </w:r>
                </w:p>
              </w:tc>
            </w:tr>
            <w:tr w14:paraId="34CA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34" w:type="pct"/>
                  <w:vAlign w:val="center"/>
                </w:tcPr>
                <w:p w14:paraId="36C72A9F">
                  <w:pPr>
                    <w:pStyle w:val="51"/>
                    <w:rPr>
                      <w:color w:val="auto"/>
                    </w:rPr>
                  </w:pPr>
                  <w:r>
                    <w:rPr>
                      <w:rFonts w:hint="eastAsia"/>
                      <w:color w:val="auto"/>
                    </w:rPr>
                    <w:t>2</w:t>
                  </w:r>
                </w:p>
              </w:tc>
              <w:tc>
                <w:tcPr>
                  <w:tcW w:w="2451" w:type="pct"/>
                  <w:vAlign w:val="center"/>
                </w:tcPr>
                <w:p w14:paraId="57B7F680">
                  <w:pPr>
                    <w:pStyle w:val="51"/>
                    <w:rPr>
                      <w:color w:val="auto"/>
                    </w:rPr>
                  </w:pPr>
                  <w:r>
                    <w:rPr>
                      <w:color w:val="auto"/>
                    </w:rPr>
                    <w:t>对照《纺织染整工业废水治理工程技术规范》</w:t>
                  </w:r>
                  <w:r>
                    <w:rPr>
                      <w:rFonts w:hint="eastAsia"/>
                      <w:color w:val="auto"/>
                    </w:rPr>
                    <w:t>（</w:t>
                  </w:r>
                  <w:r>
                    <w:rPr>
                      <w:color w:val="auto"/>
                    </w:rPr>
                    <w:t>HJ471-2020</w:t>
                  </w:r>
                  <w:r>
                    <w:rPr>
                      <w:rFonts w:hint="eastAsia"/>
                      <w:color w:val="auto"/>
                    </w:rPr>
                    <w:t>）</w:t>
                  </w:r>
                  <w:r>
                    <w:rPr>
                      <w:color w:val="auto"/>
                    </w:rPr>
                    <w:t>，通过物化</w:t>
                  </w:r>
                  <w:r>
                    <w:rPr>
                      <w:rFonts w:hint="eastAsia"/>
                      <w:color w:val="auto"/>
                    </w:rPr>
                    <w:t>（</w:t>
                  </w:r>
                  <w:r>
                    <w:rPr>
                      <w:color w:val="auto"/>
                    </w:rPr>
                    <w:t>格栅/筛网、调节、混凝、气浮、沉淀</w:t>
                  </w:r>
                  <w:r>
                    <w:rPr>
                      <w:rFonts w:hint="eastAsia"/>
                      <w:color w:val="auto"/>
                    </w:rPr>
                    <w:t>）</w:t>
                  </w:r>
                  <w:r>
                    <w:rPr>
                      <w:color w:val="auto"/>
                    </w:rPr>
                    <w:t>，生化</w:t>
                  </w:r>
                  <w:r>
                    <w:rPr>
                      <w:rFonts w:hint="eastAsia"/>
                      <w:color w:val="auto"/>
                    </w:rPr>
                    <w:t>（</w:t>
                  </w:r>
                  <w:r>
                    <w:rPr>
                      <w:color w:val="auto"/>
                    </w:rPr>
                    <w:t>厌氧、好氧、生物脱氮</w:t>
                  </w:r>
                  <w:r>
                    <w:rPr>
                      <w:rFonts w:hint="eastAsia"/>
                      <w:color w:val="auto"/>
                    </w:rPr>
                    <w:t>）</w:t>
                  </w:r>
                  <w:r>
                    <w:rPr>
                      <w:color w:val="auto"/>
                    </w:rPr>
                    <w:t>，深度处理</w:t>
                  </w:r>
                  <w:r>
                    <w:rPr>
                      <w:rFonts w:hint="eastAsia"/>
                      <w:color w:val="auto"/>
                    </w:rPr>
                    <w:t>（</w:t>
                  </w:r>
                  <w:r>
                    <w:rPr>
                      <w:color w:val="auto"/>
                    </w:rPr>
                    <w:t>曝气生物滤池、臭氧氧化、芬顿氧化、膜分离</w:t>
                  </w:r>
                  <w:r>
                    <w:rPr>
                      <w:rFonts w:hint="eastAsia"/>
                      <w:color w:val="auto"/>
                    </w:rPr>
                    <w:t>）</w:t>
                  </w:r>
                  <w:r>
                    <w:rPr>
                      <w:color w:val="auto"/>
                    </w:rPr>
                    <w:t>等工艺的组合，加快污水处理提标改造，确保废水处理达标排放。</w:t>
                  </w:r>
                </w:p>
              </w:tc>
              <w:tc>
                <w:tcPr>
                  <w:tcW w:w="1803" w:type="pct"/>
                  <w:vAlign w:val="center"/>
                </w:tcPr>
                <w:p w14:paraId="38B53C69">
                  <w:pPr>
                    <w:pStyle w:val="51"/>
                    <w:rPr>
                      <w:color w:val="auto"/>
                    </w:rPr>
                  </w:pPr>
                  <w:r>
                    <w:rPr>
                      <w:rFonts w:hint="eastAsia"/>
                      <w:color w:val="auto"/>
                    </w:rPr>
                    <w:t>本项目喷水织造废水经厂区内污水处理站处理达标后全部回用于喷水织造、不外排。污水处理站工艺为“</w:t>
                  </w:r>
                  <w:r>
                    <w:rPr>
                      <w:color w:val="auto"/>
                    </w:rPr>
                    <w:t>格栅+调节+混凝气浮+</w:t>
                  </w:r>
                  <w:r>
                    <w:rPr>
                      <w:rFonts w:hint="eastAsia"/>
                      <w:color w:val="auto"/>
                      <w:lang w:val="en-US" w:eastAsia="zh-CN"/>
                    </w:rPr>
                    <w:t>生化</w:t>
                  </w:r>
                  <w:r>
                    <w:rPr>
                      <w:color w:val="auto"/>
                    </w:rPr>
                    <w:t>+二沉+砂滤+碳滤</w:t>
                  </w:r>
                  <w:r>
                    <w:rPr>
                      <w:rFonts w:hint="eastAsia"/>
                      <w:color w:val="auto"/>
                    </w:rPr>
                    <w:t>”。</w:t>
                  </w:r>
                </w:p>
              </w:tc>
              <w:tc>
                <w:tcPr>
                  <w:tcW w:w="410" w:type="pct"/>
                  <w:vAlign w:val="center"/>
                </w:tcPr>
                <w:p w14:paraId="68F4A16F">
                  <w:pPr>
                    <w:pStyle w:val="51"/>
                    <w:rPr>
                      <w:color w:val="auto"/>
                    </w:rPr>
                  </w:pPr>
                  <w:r>
                    <w:rPr>
                      <w:color w:val="auto"/>
                    </w:rPr>
                    <w:t>符合</w:t>
                  </w:r>
                </w:p>
              </w:tc>
            </w:tr>
            <w:tr w14:paraId="720E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34" w:type="pct"/>
                  <w:vAlign w:val="center"/>
                </w:tcPr>
                <w:p w14:paraId="0F8B4B13">
                  <w:pPr>
                    <w:pStyle w:val="51"/>
                    <w:rPr>
                      <w:color w:val="auto"/>
                    </w:rPr>
                  </w:pPr>
                  <w:r>
                    <w:rPr>
                      <w:rFonts w:hint="eastAsia"/>
                      <w:color w:val="auto"/>
                    </w:rPr>
                    <w:t>3</w:t>
                  </w:r>
                </w:p>
              </w:tc>
              <w:tc>
                <w:tcPr>
                  <w:tcW w:w="2451" w:type="pct"/>
                  <w:vAlign w:val="center"/>
                </w:tcPr>
                <w:p w14:paraId="6894AA41">
                  <w:pPr>
                    <w:pStyle w:val="51"/>
                    <w:rPr>
                      <w:color w:val="auto"/>
                    </w:rPr>
                  </w:pPr>
                  <w:r>
                    <w:rPr>
                      <w:color w:val="auto"/>
                    </w:rPr>
                    <w:t>所有生产废水和初期雨水应收集处理，其中生产废水应按照</w:t>
                  </w:r>
                  <w:r>
                    <w:rPr>
                      <w:rFonts w:hint="eastAsia"/>
                      <w:color w:val="auto"/>
                    </w:rPr>
                    <w:t>“</w:t>
                  </w:r>
                  <w:r>
                    <w:rPr>
                      <w:color w:val="auto"/>
                    </w:rPr>
                    <w:t>分类收集、分质处理、分级回用</w:t>
                  </w:r>
                  <w:r>
                    <w:rPr>
                      <w:rFonts w:hint="eastAsia"/>
                      <w:color w:val="auto"/>
                    </w:rPr>
                    <w:t>”</w:t>
                  </w:r>
                  <w:r>
                    <w:rPr>
                      <w:color w:val="auto"/>
                    </w:rPr>
                    <w:t>的原则进行处理及回用。污水管网采用明渠明管或架空敷设等方式建设，雨水采取地面明沟方式收集。废水经处理后应满足《纺织染整工业水污染物排放标准》</w:t>
                  </w:r>
                  <w:r>
                    <w:rPr>
                      <w:rFonts w:hint="eastAsia"/>
                      <w:color w:val="auto"/>
                    </w:rPr>
                    <w:t>（</w:t>
                  </w:r>
                  <w:r>
                    <w:rPr>
                      <w:color w:val="auto"/>
                    </w:rPr>
                    <w:t>GB4287-2012</w:t>
                  </w:r>
                  <w:r>
                    <w:rPr>
                      <w:rFonts w:hint="eastAsia"/>
                      <w:color w:val="auto"/>
                    </w:rPr>
                    <w:t>）</w:t>
                  </w:r>
                  <w:r>
                    <w:rPr>
                      <w:color w:val="auto"/>
                    </w:rPr>
                    <w:t>《缫丝工业水污染物排放标准》</w:t>
                  </w:r>
                  <w:r>
                    <w:rPr>
                      <w:rFonts w:hint="eastAsia"/>
                      <w:color w:val="auto"/>
                    </w:rPr>
                    <w:t>（</w:t>
                  </w:r>
                  <w:r>
                    <w:rPr>
                      <w:color w:val="auto"/>
                    </w:rPr>
                    <w:t>GB28936</w:t>
                  </w:r>
                  <w:r>
                    <w:rPr>
                      <w:rFonts w:hint="eastAsia"/>
                      <w:color w:val="auto"/>
                    </w:rPr>
                    <w:t>）</w:t>
                  </w:r>
                  <w:r>
                    <w:rPr>
                      <w:color w:val="auto"/>
                    </w:rPr>
                    <w:t>《毛纺工业水污染物排放标准》</w:t>
                  </w:r>
                  <w:r>
                    <w:rPr>
                      <w:rFonts w:hint="eastAsia"/>
                      <w:color w:val="auto"/>
                    </w:rPr>
                    <w:t>（</w:t>
                  </w:r>
                  <w:r>
                    <w:rPr>
                      <w:color w:val="auto"/>
                    </w:rPr>
                    <w:t>GB28937</w:t>
                  </w:r>
                  <w:r>
                    <w:rPr>
                      <w:rFonts w:hint="eastAsia"/>
                      <w:color w:val="auto"/>
                    </w:rPr>
                    <w:t>）</w:t>
                  </w:r>
                  <w:r>
                    <w:rPr>
                      <w:color w:val="auto"/>
                    </w:rPr>
                    <w:t>、《麻纺工业水污染物排放标准》</w:t>
                  </w:r>
                  <w:r>
                    <w:rPr>
                      <w:rFonts w:hint="eastAsia"/>
                      <w:color w:val="auto"/>
                    </w:rPr>
                    <w:t>（</w:t>
                  </w:r>
                  <w:r>
                    <w:rPr>
                      <w:color w:val="auto"/>
                    </w:rPr>
                    <w:t>GB28938</w:t>
                  </w:r>
                  <w:r>
                    <w:rPr>
                      <w:rFonts w:hint="eastAsia"/>
                      <w:color w:val="auto"/>
                    </w:rPr>
                    <w:t>）</w:t>
                  </w:r>
                  <w:r>
                    <w:rPr>
                      <w:color w:val="auto"/>
                    </w:rPr>
                    <w:t>和污水处理厂接管标准要求。</w:t>
                  </w:r>
                </w:p>
              </w:tc>
              <w:tc>
                <w:tcPr>
                  <w:tcW w:w="1803" w:type="pct"/>
                  <w:vAlign w:val="center"/>
                </w:tcPr>
                <w:p w14:paraId="100D01E0">
                  <w:pPr>
                    <w:pStyle w:val="51"/>
                    <w:rPr>
                      <w:color w:val="auto"/>
                    </w:rPr>
                  </w:pPr>
                  <w:r>
                    <w:rPr>
                      <w:color w:val="auto"/>
                    </w:rPr>
                    <w:t>本项目</w:t>
                  </w:r>
                  <w:r>
                    <w:rPr>
                      <w:rFonts w:hint="eastAsia"/>
                      <w:color w:val="auto"/>
                    </w:rPr>
                    <w:t>生产废水、初期雨水，</w:t>
                  </w:r>
                  <w:r>
                    <w:rPr>
                      <w:color w:val="auto"/>
                    </w:rPr>
                    <w:t>按照“分类收集、分质处理</w:t>
                  </w:r>
                  <w:r>
                    <w:rPr>
                      <w:rFonts w:hint="eastAsia"/>
                      <w:color w:val="auto"/>
                    </w:rPr>
                    <w:t>、分级回用</w:t>
                  </w:r>
                  <w:r>
                    <w:rPr>
                      <w:color w:val="auto"/>
                    </w:rPr>
                    <w:t>”的原则</w:t>
                  </w:r>
                  <w:r>
                    <w:rPr>
                      <w:rFonts w:hint="eastAsia"/>
                      <w:color w:val="auto"/>
                    </w:rPr>
                    <w:t>进行处理及回用。职工生活污水经厂区化粪池预处理达标后接管至新袁镇污水处理厂集中处理；喷水织造废水经厂区污水处理站处理后全部回用于喷水织造、不外排；磨毛用水经捞渣后循环使用、不外排。</w:t>
                  </w:r>
                  <w:r>
                    <w:rPr>
                      <w:color w:val="auto"/>
                    </w:rPr>
                    <w:t>污水管网采用明渠明管或架空敷设等方式建设，雨水采取地面明沟方式收集。</w:t>
                  </w:r>
                </w:p>
              </w:tc>
              <w:tc>
                <w:tcPr>
                  <w:tcW w:w="410" w:type="pct"/>
                  <w:shd w:val="clear" w:color="auto" w:fill="auto"/>
                  <w:vAlign w:val="center"/>
                </w:tcPr>
                <w:p w14:paraId="57132138">
                  <w:pPr>
                    <w:pStyle w:val="51"/>
                    <w:rPr>
                      <w:color w:val="auto"/>
                    </w:rPr>
                  </w:pPr>
                  <w:r>
                    <w:rPr>
                      <w:color w:val="auto"/>
                    </w:rPr>
                    <w:t>符合</w:t>
                  </w:r>
                </w:p>
              </w:tc>
            </w:tr>
          </w:tbl>
          <w:p w14:paraId="37BC2A5C">
            <w:pPr>
              <w:pStyle w:val="47"/>
              <w:ind w:firstLine="480"/>
              <w:rPr>
                <w:color w:val="auto"/>
              </w:rPr>
            </w:pPr>
            <w:r>
              <w:rPr>
                <w:color w:val="auto"/>
              </w:rPr>
              <w:t>由</w:t>
            </w:r>
            <w:r>
              <w:rPr>
                <w:color w:val="auto"/>
              </w:rPr>
              <w:fldChar w:fldCharType="begin"/>
            </w:r>
            <w:r>
              <w:rPr>
                <w:color w:val="auto"/>
              </w:rPr>
              <w:instrText xml:space="preserve"> REF _Ref10084 \h </w:instrText>
            </w:r>
            <w:r>
              <w:rPr>
                <w:color w:val="auto"/>
              </w:rPr>
              <w:fldChar w:fldCharType="separate"/>
            </w:r>
            <w:r>
              <w:rPr>
                <w:color w:val="auto"/>
              </w:rPr>
              <w:t>表1- 8</w:t>
            </w:r>
            <w:r>
              <w:rPr>
                <w:color w:val="auto"/>
              </w:rPr>
              <w:fldChar w:fldCharType="end"/>
            </w:r>
            <w:r>
              <w:rPr>
                <w:color w:val="auto"/>
              </w:rPr>
              <w:t>可知，本</w:t>
            </w:r>
            <w:r>
              <w:rPr>
                <w:rFonts w:hint="eastAsia"/>
                <w:color w:val="auto"/>
              </w:rPr>
              <w:t>项目符合</w:t>
            </w:r>
            <w:r>
              <w:rPr>
                <w:color w:val="auto"/>
              </w:rPr>
              <w:t>《泗阳县纺织印染行业环境问题整治方案的通知》</w:t>
            </w:r>
            <w:r>
              <w:rPr>
                <w:rFonts w:hint="eastAsia"/>
                <w:color w:val="auto"/>
              </w:rPr>
              <w:t>（</w:t>
            </w:r>
            <w:r>
              <w:rPr>
                <w:color w:val="auto"/>
              </w:rPr>
              <w:t>泗环发〔</w:t>
            </w:r>
            <w:r>
              <w:rPr>
                <w:rFonts w:hint="eastAsia"/>
                <w:color w:val="auto"/>
              </w:rPr>
              <w:t>2023</w:t>
            </w:r>
            <w:r>
              <w:rPr>
                <w:color w:val="auto"/>
              </w:rPr>
              <w:t>〕13号</w:t>
            </w:r>
            <w:r>
              <w:rPr>
                <w:rFonts w:hint="eastAsia"/>
                <w:color w:val="auto"/>
              </w:rPr>
              <w:t>）的相关要求</w:t>
            </w:r>
            <w:r>
              <w:rPr>
                <w:color w:val="auto"/>
              </w:rPr>
              <w:t>。</w:t>
            </w:r>
          </w:p>
          <w:p w14:paraId="4F6BF45B">
            <w:pPr>
              <w:pStyle w:val="47"/>
              <w:ind w:firstLine="482"/>
              <w:rPr>
                <w:b/>
                <w:bCs/>
                <w:color w:val="auto"/>
              </w:rPr>
            </w:pPr>
            <w:r>
              <w:rPr>
                <w:rFonts w:hint="eastAsia"/>
                <w:b/>
                <w:bCs/>
                <w:color w:val="auto"/>
              </w:rPr>
              <w:t>5</w:t>
            </w:r>
            <w:r>
              <w:rPr>
                <w:b/>
                <w:bCs/>
                <w:color w:val="auto"/>
              </w:rPr>
              <w:t>、与《泗阳县纺织印染企业环境治理提升行动方案的通知》</w:t>
            </w:r>
            <w:r>
              <w:rPr>
                <w:rFonts w:hint="eastAsia"/>
                <w:b/>
                <w:bCs/>
                <w:color w:val="auto"/>
              </w:rPr>
              <w:t>（</w:t>
            </w:r>
            <w:r>
              <w:rPr>
                <w:b/>
                <w:bCs/>
                <w:color w:val="auto"/>
              </w:rPr>
              <w:t>泗污防攻坚指办〔</w:t>
            </w:r>
            <w:r>
              <w:rPr>
                <w:rFonts w:hint="eastAsia"/>
                <w:b/>
                <w:bCs/>
                <w:color w:val="auto"/>
              </w:rPr>
              <w:t>2022</w:t>
            </w:r>
            <w:r>
              <w:rPr>
                <w:b/>
                <w:bCs/>
                <w:color w:val="auto"/>
              </w:rPr>
              <w:t>〕2号</w:t>
            </w:r>
            <w:r>
              <w:rPr>
                <w:rFonts w:hint="eastAsia"/>
                <w:b/>
                <w:bCs/>
                <w:color w:val="auto"/>
              </w:rPr>
              <w:t>）</w:t>
            </w:r>
            <w:r>
              <w:rPr>
                <w:b/>
                <w:bCs/>
                <w:color w:val="auto"/>
              </w:rPr>
              <w:t>相符性分析</w:t>
            </w:r>
          </w:p>
          <w:p w14:paraId="0CE6CE5D">
            <w:pPr>
              <w:pStyle w:val="47"/>
              <w:ind w:firstLine="480"/>
              <w:rPr>
                <w:color w:val="auto"/>
              </w:rPr>
            </w:pPr>
            <w:r>
              <w:rPr>
                <w:color w:val="auto"/>
              </w:rPr>
              <w:t>根据《泗阳县纺织印染企业环境环境治理提升行动方案的通知》</w:t>
            </w:r>
            <w:r>
              <w:rPr>
                <w:rFonts w:hint="eastAsia"/>
                <w:color w:val="auto"/>
              </w:rPr>
              <w:t>（</w:t>
            </w:r>
            <w:r>
              <w:rPr>
                <w:color w:val="auto"/>
              </w:rPr>
              <w:t>泗污防攻坚指办〔</w:t>
            </w:r>
            <w:r>
              <w:rPr>
                <w:rFonts w:hint="eastAsia"/>
                <w:color w:val="auto"/>
              </w:rPr>
              <w:t>2022</w:t>
            </w:r>
            <w:r>
              <w:rPr>
                <w:color w:val="auto"/>
              </w:rPr>
              <w:t>〕2号</w:t>
            </w:r>
            <w:r>
              <w:rPr>
                <w:rFonts w:hint="eastAsia"/>
                <w:color w:val="auto"/>
              </w:rPr>
              <w:t>）的相关</w:t>
            </w:r>
            <w:r>
              <w:rPr>
                <w:color w:val="auto"/>
              </w:rPr>
              <w:t>要求，本项目相符性见</w:t>
            </w:r>
            <w:r>
              <w:rPr>
                <w:color w:val="auto"/>
              </w:rPr>
              <w:fldChar w:fldCharType="begin"/>
            </w:r>
            <w:r>
              <w:rPr>
                <w:color w:val="auto"/>
              </w:rPr>
              <w:instrText xml:space="preserve"> REF _Ref9251 \h </w:instrText>
            </w:r>
            <w:r>
              <w:rPr>
                <w:color w:val="auto"/>
              </w:rPr>
              <w:fldChar w:fldCharType="separate"/>
            </w:r>
            <w:r>
              <w:rPr>
                <w:color w:val="auto"/>
              </w:rPr>
              <w:t>表1- 9</w:t>
            </w:r>
            <w:r>
              <w:rPr>
                <w:color w:val="auto"/>
              </w:rPr>
              <w:fldChar w:fldCharType="end"/>
            </w:r>
            <w:r>
              <w:rPr>
                <w:color w:val="auto"/>
              </w:rPr>
              <w:t>。</w:t>
            </w:r>
          </w:p>
          <w:p w14:paraId="51E055DF">
            <w:pPr>
              <w:pStyle w:val="7"/>
              <w:rPr>
                <w:color w:val="auto"/>
              </w:rPr>
            </w:pPr>
            <w:bookmarkStart w:id="16" w:name="_Ref9251"/>
            <w:bookmarkStart w:id="17" w:name="_Ref11201"/>
            <w:r>
              <w:rPr>
                <w:color w:val="auto"/>
              </w:rPr>
              <w:t xml:space="preserve">表1- </w:t>
            </w:r>
            <w:r>
              <w:rPr>
                <w:color w:val="auto"/>
              </w:rPr>
              <w:fldChar w:fldCharType="begin"/>
            </w:r>
            <w:r>
              <w:rPr>
                <w:color w:val="auto"/>
              </w:rPr>
              <w:instrText xml:space="preserve"> SEQ 表1- \* ARABIC </w:instrText>
            </w:r>
            <w:r>
              <w:rPr>
                <w:color w:val="auto"/>
              </w:rPr>
              <w:fldChar w:fldCharType="separate"/>
            </w:r>
            <w:r>
              <w:rPr>
                <w:color w:val="auto"/>
              </w:rPr>
              <w:t>9</w:t>
            </w:r>
            <w:r>
              <w:rPr>
                <w:color w:val="auto"/>
              </w:rPr>
              <w:fldChar w:fldCharType="end"/>
            </w:r>
            <w:bookmarkEnd w:id="16"/>
            <w:bookmarkEnd w:id="17"/>
            <w:r>
              <w:rPr>
                <w:color w:val="auto"/>
              </w:rPr>
              <w:t xml:space="preserve"> </w:t>
            </w:r>
            <w:r>
              <w:rPr>
                <w:rFonts w:hint="eastAsia"/>
                <w:color w:val="auto"/>
              </w:rPr>
              <w:t>项目</w:t>
            </w:r>
            <w:r>
              <w:rPr>
                <w:color w:val="auto"/>
              </w:rPr>
              <w:t>与</w:t>
            </w:r>
            <w:r>
              <w:rPr>
                <w:rFonts w:hint="eastAsia"/>
                <w:color w:val="auto"/>
              </w:rPr>
              <w:t>“</w:t>
            </w:r>
            <w:r>
              <w:rPr>
                <w:color w:val="auto"/>
              </w:rPr>
              <w:t>泗污防攻坚指办〔2022〕2号</w:t>
            </w:r>
            <w:r>
              <w:rPr>
                <w:rFonts w:hint="eastAsia"/>
                <w:color w:val="auto"/>
              </w:rPr>
              <w:t>”</w:t>
            </w:r>
            <w:r>
              <w:rPr>
                <w:color w:val="auto"/>
              </w:rPr>
              <w:t>相符性分析</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3953"/>
              <w:gridCol w:w="2959"/>
              <w:gridCol w:w="666"/>
            </w:tblGrid>
            <w:tr w14:paraId="6DF9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34" w:type="pct"/>
                  <w:vAlign w:val="center"/>
                </w:tcPr>
                <w:p w14:paraId="16E39D73">
                  <w:pPr>
                    <w:pStyle w:val="49"/>
                    <w:rPr>
                      <w:color w:val="auto"/>
                    </w:rPr>
                  </w:pPr>
                  <w:r>
                    <w:rPr>
                      <w:color w:val="auto"/>
                    </w:rPr>
                    <w:t>序号</w:t>
                  </w:r>
                </w:p>
              </w:tc>
              <w:tc>
                <w:tcPr>
                  <w:tcW w:w="2433" w:type="pct"/>
                  <w:vAlign w:val="center"/>
                </w:tcPr>
                <w:p w14:paraId="3BD57A4C">
                  <w:pPr>
                    <w:pStyle w:val="49"/>
                    <w:rPr>
                      <w:color w:val="auto"/>
                    </w:rPr>
                  </w:pPr>
                  <w:r>
                    <w:rPr>
                      <w:color w:val="auto"/>
                    </w:rPr>
                    <w:t>文件要求</w:t>
                  </w:r>
                </w:p>
              </w:tc>
              <w:tc>
                <w:tcPr>
                  <w:tcW w:w="1821" w:type="pct"/>
                  <w:vAlign w:val="center"/>
                </w:tcPr>
                <w:p w14:paraId="5D88D4E2">
                  <w:pPr>
                    <w:pStyle w:val="49"/>
                    <w:rPr>
                      <w:color w:val="auto"/>
                    </w:rPr>
                  </w:pPr>
                  <w:r>
                    <w:rPr>
                      <w:rFonts w:hint="eastAsia"/>
                      <w:color w:val="auto"/>
                    </w:rPr>
                    <w:t>本</w:t>
                  </w:r>
                  <w:r>
                    <w:rPr>
                      <w:color w:val="auto"/>
                    </w:rPr>
                    <w:t>项目情况</w:t>
                  </w:r>
                </w:p>
              </w:tc>
              <w:tc>
                <w:tcPr>
                  <w:tcW w:w="410" w:type="pct"/>
                  <w:vAlign w:val="center"/>
                </w:tcPr>
                <w:p w14:paraId="08D67A6F">
                  <w:pPr>
                    <w:pStyle w:val="49"/>
                    <w:rPr>
                      <w:color w:val="auto"/>
                    </w:rPr>
                  </w:pPr>
                  <w:r>
                    <w:rPr>
                      <w:color w:val="auto"/>
                    </w:rPr>
                    <w:t>相符性</w:t>
                  </w:r>
                </w:p>
              </w:tc>
            </w:tr>
            <w:tr w14:paraId="688F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34" w:type="pct"/>
                  <w:vAlign w:val="center"/>
                </w:tcPr>
                <w:p w14:paraId="732AD459">
                  <w:pPr>
                    <w:pStyle w:val="51"/>
                    <w:rPr>
                      <w:color w:val="auto"/>
                    </w:rPr>
                  </w:pPr>
                  <w:r>
                    <w:rPr>
                      <w:rFonts w:hint="eastAsia"/>
                      <w:color w:val="auto"/>
                    </w:rPr>
                    <w:t>1</w:t>
                  </w:r>
                </w:p>
              </w:tc>
              <w:tc>
                <w:tcPr>
                  <w:tcW w:w="2433" w:type="pct"/>
                  <w:vAlign w:val="center"/>
                </w:tcPr>
                <w:p w14:paraId="4F55D7F2">
                  <w:pPr>
                    <w:pStyle w:val="51"/>
                    <w:rPr>
                      <w:color w:val="auto"/>
                    </w:rPr>
                  </w:pPr>
                  <w:r>
                    <w:rPr>
                      <w:color w:val="auto"/>
                    </w:rPr>
                    <w:t>以环评、排污许可确定的排放量为依据，实施污染排放总量控制。厘清超产能、超排放量的生产环节，通过配套工艺设备、建设回用设施、节水技术改造等措施，科学实施总量减排，严禁废水排放量超许可排放量。不再建设的工艺工段所对应的许可排放量不得调剂到其他工艺工段。地下水</w:t>
                  </w:r>
                  <w:r>
                    <w:rPr>
                      <w:rFonts w:hint="eastAsia"/>
                      <w:color w:val="auto"/>
                    </w:rPr>
                    <w:t>（</w:t>
                  </w:r>
                  <w:r>
                    <w:rPr>
                      <w:color w:val="auto"/>
                    </w:rPr>
                    <w:t>河水</w:t>
                  </w:r>
                  <w:r>
                    <w:rPr>
                      <w:rFonts w:hint="eastAsia"/>
                      <w:color w:val="auto"/>
                    </w:rPr>
                    <w:t>）</w:t>
                  </w:r>
                  <w:r>
                    <w:rPr>
                      <w:color w:val="auto"/>
                    </w:rPr>
                    <w:t>取水需经水利部门许可，使用量不得超过许可量，未经许可不得擅自采用地下水</w:t>
                  </w:r>
                  <w:r>
                    <w:rPr>
                      <w:rFonts w:hint="eastAsia"/>
                      <w:color w:val="auto"/>
                    </w:rPr>
                    <w:t>（</w:t>
                  </w:r>
                  <w:r>
                    <w:rPr>
                      <w:color w:val="auto"/>
                    </w:rPr>
                    <w:t>河水</w:t>
                  </w:r>
                  <w:r>
                    <w:rPr>
                      <w:rFonts w:hint="eastAsia"/>
                      <w:color w:val="auto"/>
                    </w:rPr>
                    <w:t>）</w:t>
                  </w:r>
                  <w:r>
                    <w:rPr>
                      <w:color w:val="auto"/>
                    </w:rPr>
                    <w:t>。</w:t>
                  </w:r>
                </w:p>
              </w:tc>
              <w:tc>
                <w:tcPr>
                  <w:tcW w:w="1821" w:type="pct"/>
                  <w:vAlign w:val="center"/>
                </w:tcPr>
                <w:p w14:paraId="5628DE7D">
                  <w:pPr>
                    <w:pStyle w:val="51"/>
                    <w:rPr>
                      <w:color w:val="auto"/>
                    </w:rPr>
                  </w:pPr>
                  <w:r>
                    <w:rPr>
                      <w:bCs/>
                      <w:color w:val="auto"/>
                    </w:rPr>
                    <w:t>本项目</w:t>
                  </w:r>
                  <w:r>
                    <w:rPr>
                      <w:color w:val="auto"/>
                    </w:rPr>
                    <w:t>以环评、排污许可确定的排放量为依据，实施污染排放总量控制。</w:t>
                  </w:r>
                  <w:r>
                    <w:rPr>
                      <w:rFonts w:hint="eastAsia"/>
                      <w:color w:val="auto"/>
                    </w:rPr>
                    <w:t>项目</w:t>
                  </w:r>
                  <w:r>
                    <w:rPr>
                      <w:color w:val="auto"/>
                    </w:rPr>
                    <w:t>未采用地下水</w:t>
                  </w:r>
                  <w:r>
                    <w:rPr>
                      <w:rFonts w:hint="eastAsia"/>
                      <w:color w:val="auto"/>
                    </w:rPr>
                    <w:t>（</w:t>
                  </w:r>
                  <w:r>
                    <w:rPr>
                      <w:color w:val="auto"/>
                    </w:rPr>
                    <w:t>河水</w:t>
                  </w:r>
                  <w:r>
                    <w:rPr>
                      <w:rFonts w:hint="eastAsia"/>
                      <w:color w:val="auto"/>
                    </w:rPr>
                    <w:t>）。</w:t>
                  </w:r>
                </w:p>
              </w:tc>
              <w:tc>
                <w:tcPr>
                  <w:tcW w:w="410" w:type="pct"/>
                  <w:vAlign w:val="center"/>
                </w:tcPr>
                <w:p w14:paraId="5955E12F">
                  <w:pPr>
                    <w:pStyle w:val="51"/>
                    <w:rPr>
                      <w:color w:val="auto"/>
                    </w:rPr>
                  </w:pPr>
                  <w:r>
                    <w:rPr>
                      <w:color w:val="auto"/>
                    </w:rPr>
                    <w:t>符合</w:t>
                  </w:r>
                </w:p>
              </w:tc>
            </w:tr>
            <w:tr w14:paraId="1488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34" w:type="pct"/>
                  <w:vAlign w:val="center"/>
                </w:tcPr>
                <w:p w14:paraId="7AA04C4D">
                  <w:pPr>
                    <w:pStyle w:val="51"/>
                    <w:rPr>
                      <w:color w:val="auto"/>
                    </w:rPr>
                  </w:pPr>
                  <w:r>
                    <w:rPr>
                      <w:rFonts w:hint="eastAsia"/>
                      <w:color w:val="auto"/>
                    </w:rPr>
                    <w:t>2</w:t>
                  </w:r>
                </w:p>
              </w:tc>
              <w:tc>
                <w:tcPr>
                  <w:tcW w:w="2433" w:type="pct"/>
                  <w:vAlign w:val="center"/>
                </w:tcPr>
                <w:p w14:paraId="44A39776">
                  <w:pPr>
                    <w:pStyle w:val="51"/>
                    <w:rPr>
                      <w:color w:val="auto"/>
                    </w:rPr>
                  </w:pPr>
                  <w:r>
                    <w:rPr>
                      <w:color w:val="auto"/>
                    </w:rPr>
                    <w:t>根据废水水质特点，选择可行的污水处理工艺，通过物化</w:t>
                  </w:r>
                  <w:r>
                    <w:rPr>
                      <w:rFonts w:hint="eastAsia"/>
                      <w:color w:val="auto"/>
                    </w:rPr>
                    <w:t>（</w:t>
                  </w:r>
                  <w:r>
                    <w:rPr>
                      <w:color w:val="auto"/>
                    </w:rPr>
                    <w:t>格栅/筛网、调节、混凝、浮、沉淀</w:t>
                  </w:r>
                  <w:r>
                    <w:rPr>
                      <w:rFonts w:hint="eastAsia"/>
                      <w:color w:val="auto"/>
                    </w:rPr>
                    <w:t>）</w:t>
                  </w:r>
                  <w:r>
                    <w:rPr>
                      <w:color w:val="auto"/>
                    </w:rPr>
                    <w:t>，生化</w:t>
                  </w:r>
                  <w:r>
                    <w:rPr>
                      <w:rFonts w:hint="eastAsia"/>
                      <w:color w:val="auto"/>
                    </w:rPr>
                    <w:t>（</w:t>
                  </w:r>
                  <w:r>
                    <w:rPr>
                      <w:color w:val="auto"/>
                    </w:rPr>
                    <w:t>厌氧、好氧、生物脱氮</w:t>
                  </w:r>
                  <w:r>
                    <w:rPr>
                      <w:rFonts w:hint="eastAsia"/>
                      <w:color w:val="auto"/>
                    </w:rPr>
                    <w:t>）</w:t>
                  </w:r>
                  <w:r>
                    <w:rPr>
                      <w:color w:val="auto"/>
                    </w:rPr>
                    <w:t>，深度处理</w:t>
                  </w:r>
                  <w:r>
                    <w:rPr>
                      <w:rFonts w:hint="eastAsia"/>
                      <w:color w:val="auto"/>
                    </w:rPr>
                    <w:t>（</w:t>
                  </w:r>
                  <w:r>
                    <w:rPr>
                      <w:color w:val="auto"/>
                    </w:rPr>
                    <w:t>曝气生物滤池、臭氧氧化、芬顿氧化、膜分离</w:t>
                  </w:r>
                  <w:r>
                    <w:rPr>
                      <w:rFonts w:hint="eastAsia"/>
                      <w:color w:val="auto"/>
                    </w:rPr>
                    <w:t>）</w:t>
                  </w:r>
                  <w:r>
                    <w:rPr>
                      <w:color w:val="auto"/>
                    </w:rPr>
                    <w:t>等工艺的组合。加强预处理设施运行管理，重点规范生化处理设施运行，建立管理台账，严禁空转、闲置等建而不用现象。</w:t>
                  </w:r>
                </w:p>
              </w:tc>
              <w:tc>
                <w:tcPr>
                  <w:tcW w:w="1821" w:type="pct"/>
                  <w:vAlign w:val="center"/>
                </w:tcPr>
                <w:p w14:paraId="0FE17663">
                  <w:pPr>
                    <w:pStyle w:val="51"/>
                    <w:rPr>
                      <w:color w:val="auto"/>
                    </w:rPr>
                  </w:pPr>
                  <w:r>
                    <w:rPr>
                      <w:rFonts w:hint="eastAsia"/>
                      <w:color w:val="auto"/>
                    </w:rPr>
                    <w:t>本项目污水处理站工艺为“</w:t>
                  </w:r>
                  <w:r>
                    <w:rPr>
                      <w:color w:val="auto"/>
                    </w:rPr>
                    <w:t>格栅+调节+混凝气浮+</w:t>
                  </w:r>
                  <w:r>
                    <w:rPr>
                      <w:rFonts w:hint="eastAsia"/>
                      <w:color w:val="auto"/>
                      <w:lang w:val="en-US" w:eastAsia="zh-CN"/>
                    </w:rPr>
                    <w:t>生化</w:t>
                  </w:r>
                  <w:r>
                    <w:rPr>
                      <w:color w:val="auto"/>
                    </w:rPr>
                    <w:t>+二沉+砂滤+碳滤</w:t>
                  </w:r>
                  <w:r>
                    <w:rPr>
                      <w:rFonts w:hint="eastAsia"/>
                      <w:color w:val="auto"/>
                    </w:rPr>
                    <w:t>”。污水处理站运行后将</w:t>
                  </w:r>
                  <w:r>
                    <w:rPr>
                      <w:color w:val="auto"/>
                    </w:rPr>
                    <w:t>加强预处理设施运行管理，重点规范生化处理设施运行，建立管理台账，严禁空转、闲置等建而不用现象。</w:t>
                  </w:r>
                </w:p>
              </w:tc>
              <w:tc>
                <w:tcPr>
                  <w:tcW w:w="410" w:type="pct"/>
                  <w:vAlign w:val="center"/>
                </w:tcPr>
                <w:p w14:paraId="08230770">
                  <w:pPr>
                    <w:pStyle w:val="51"/>
                    <w:rPr>
                      <w:color w:val="auto"/>
                    </w:rPr>
                  </w:pPr>
                  <w:r>
                    <w:rPr>
                      <w:color w:val="auto"/>
                    </w:rPr>
                    <w:t>符合</w:t>
                  </w:r>
                </w:p>
              </w:tc>
            </w:tr>
            <w:tr w14:paraId="4F9E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34" w:type="pct"/>
                  <w:vAlign w:val="center"/>
                </w:tcPr>
                <w:p w14:paraId="7204CE5C">
                  <w:pPr>
                    <w:pStyle w:val="51"/>
                    <w:rPr>
                      <w:color w:val="auto"/>
                    </w:rPr>
                  </w:pPr>
                  <w:r>
                    <w:rPr>
                      <w:rFonts w:hint="eastAsia"/>
                      <w:color w:val="auto"/>
                    </w:rPr>
                    <w:t>3</w:t>
                  </w:r>
                </w:p>
              </w:tc>
              <w:tc>
                <w:tcPr>
                  <w:tcW w:w="2433" w:type="pct"/>
                  <w:vAlign w:val="center"/>
                </w:tcPr>
                <w:p w14:paraId="2563932E">
                  <w:pPr>
                    <w:pStyle w:val="51"/>
                    <w:rPr>
                      <w:color w:val="auto"/>
                    </w:rPr>
                  </w:pPr>
                  <w:r>
                    <w:rPr>
                      <w:color w:val="auto"/>
                    </w:rPr>
                    <w:t>喷水织机企业中水回用率执行90%以上，回用水质可参照执行嘉兴市团体标准《喷水织机行业中水回用水质要求》</w:t>
                  </w:r>
                  <w:r>
                    <w:rPr>
                      <w:rFonts w:hint="eastAsia"/>
                      <w:color w:val="auto"/>
                    </w:rPr>
                    <w:t>（</w:t>
                  </w:r>
                  <w:r>
                    <w:rPr>
                      <w:color w:val="auto"/>
                    </w:rPr>
                    <w:t>T/JX001-2018</w:t>
                  </w:r>
                  <w:r>
                    <w:rPr>
                      <w:rFonts w:hint="eastAsia"/>
                      <w:color w:val="auto"/>
                    </w:rPr>
                    <w:t>）</w:t>
                  </w:r>
                  <w:r>
                    <w:rPr>
                      <w:color w:val="auto"/>
                    </w:rPr>
                    <w:t>中高回用率水质标准</w:t>
                  </w:r>
                  <w:r>
                    <w:rPr>
                      <w:rFonts w:hint="eastAsia"/>
                      <w:color w:val="auto"/>
                    </w:rPr>
                    <w:t>（</w:t>
                  </w:r>
                  <w:r>
                    <w:rPr>
                      <w:color w:val="auto"/>
                    </w:rPr>
                    <w:t>C</w:t>
                  </w:r>
                  <w:r>
                    <w:rPr>
                      <w:rFonts w:hint="eastAsia"/>
                      <w:color w:val="auto"/>
                    </w:rPr>
                    <w:t>O</w:t>
                  </w:r>
                  <w:r>
                    <w:rPr>
                      <w:color w:val="auto"/>
                    </w:rPr>
                    <w:t>D&lt;80mg/L、浊度&lt;5mg/L、色度&lt;30mg/L、LAS&lt;</w:t>
                  </w:r>
                  <w:r>
                    <w:rPr>
                      <w:rFonts w:hint="eastAsia"/>
                      <w:color w:val="auto"/>
                    </w:rPr>
                    <w:t>1</w:t>
                  </w:r>
                  <w:r>
                    <w:rPr>
                      <w:color w:val="auto"/>
                    </w:rPr>
                    <w:t>lmg/L、石油类&lt;10mg/L、总硬度&lt;150mg/L</w:t>
                  </w:r>
                  <w:r>
                    <w:rPr>
                      <w:rFonts w:hint="eastAsia"/>
                      <w:color w:val="auto"/>
                    </w:rPr>
                    <w:t>）</w:t>
                  </w:r>
                  <w:r>
                    <w:rPr>
                      <w:color w:val="auto"/>
                    </w:rPr>
                    <w:t>。</w:t>
                  </w:r>
                </w:p>
              </w:tc>
              <w:tc>
                <w:tcPr>
                  <w:tcW w:w="1821" w:type="pct"/>
                  <w:vAlign w:val="center"/>
                </w:tcPr>
                <w:p w14:paraId="3F24AD66">
                  <w:pPr>
                    <w:pStyle w:val="51"/>
                    <w:rPr>
                      <w:color w:val="auto"/>
                    </w:rPr>
                  </w:pPr>
                  <w:r>
                    <w:rPr>
                      <w:bCs/>
                      <w:color w:val="auto"/>
                    </w:rPr>
                    <w:t>本项目</w:t>
                  </w:r>
                  <w:r>
                    <w:rPr>
                      <w:rFonts w:hint="eastAsia"/>
                      <w:bCs/>
                      <w:color w:val="auto"/>
                    </w:rPr>
                    <w:t>喷水织造</w:t>
                  </w:r>
                  <w:r>
                    <w:rPr>
                      <w:bCs/>
                      <w:color w:val="auto"/>
                    </w:rPr>
                    <w:t>废水全部回用，回用水质</w:t>
                  </w:r>
                  <w:r>
                    <w:rPr>
                      <w:rFonts w:hint="eastAsia"/>
                      <w:bCs/>
                      <w:color w:val="auto"/>
                      <w:lang w:val="en-US" w:eastAsia="zh-CN"/>
                    </w:rPr>
                    <w:t>参考</w:t>
                  </w:r>
                  <w:r>
                    <w:rPr>
                      <w:rFonts w:hint="eastAsia"/>
                      <w:color w:val="auto"/>
                      <w:lang w:eastAsia="zh-CN"/>
                    </w:rPr>
                    <w:t>《</w:t>
                  </w:r>
                  <w:r>
                    <w:rPr>
                      <w:rFonts w:hint="eastAsia"/>
                      <w:color w:val="auto"/>
                      <w:lang w:val="en-US" w:eastAsia="zh-CN"/>
                    </w:rPr>
                    <w:t>城市污水再生利用 工业用水水质</w:t>
                  </w:r>
                  <w:r>
                    <w:rPr>
                      <w:rFonts w:hint="eastAsia"/>
                      <w:color w:val="auto"/>
                      <w:lang w:eastAsia="zh-CN"/>
                    </w:rPr>
                    <w:t>》（</w:t>
                  </w:r>
                  <w:r>
                    <w:rPr>
                      <w:rFonts w:hint="eastAsia"/>
                      <w:color w:val="auto"/>
                      <w:lang w:val="en-US" w:eastAsia="zh-CN"/>
                    </w:rPr>
                    <w:t>GB/T 19923-2024）表1</w:t>
                  </w:r>
                  <w:r>
                    <w:rPr>
                      <w:rStyle w:val="19"/>
                      <w:rFonts w:hint="eastAsia"/>
                      <w:color w:val="auto"/>
                      <w:lang w:val="en-US" w:eastAsia="zh-CN"/>
                    </w:rPr>
                    <w:t xml:space="preserve"> 再生水用作工业用水水质基本控制项目及限值、《纺织染整工业废水中锑污染物排放标准》（DB32/ 3432-2018）表2 纺织染整企业废水中总锑特别排放限值。</w:t>
                  </w:r>
                </w:p>
              </w:tc>
              <w:tc>
                <w:tcPr>
                  <w:tcW w:w="410" w:type="pct"/>
                  <w:vAlign w:val="center"/>
                </w:tcPr>
                <w:p w14:paraId="6F9BB83E">
                  <w:pPr>
                    <w:pStyle w:val="51"/>
                    <w:rPr>
                      <w:color w:val="auto"/>
                    </w:rPr>
                  </w:pPr>
                  <w:r>
                    <w:rPr>
                      <w:color w:val="auto"/>
                    </w:rPr>
                    <w:t>符合</w:t>
                  </w:r>
                </w:p>
              </w:tc>
            </w:tr>
          </w:tbl>
          <w:p w14:paraId="0D3CDBD6">
            <w:pPr>
              <w:pStyle w:val="47"/>
              <w:ind w:firstLine="480"/>
              <w:rPr>
                <w:color w:val="auto"/>
              </w:rPr>
            </w:pPr>
            <w:r>
              <w:rPr>
                <w:color w:val="auto"/>
              </w:rPr>
              <w:t>由</w:t>
            </w:r>
            <w:r>
              <w:rPr>
                <w:color w:val="auto"/>
              </w:rPr>
              <w:fldChar w:fldCharType="begin"/>
            </w:r>
            <w:r>
              <w:rPr>
                <w:color w:val="auto"/>
              </w:rPr>
              <w:instrText xml:space="preserve"> REF _Ref9251 \h </w:instrText>
            </w:r>
            <w:r>
              <w:rPr>
                <w:color w:val="auto"/>
              </w:rPr>
              <w:fldChar w:fldCharType="separate"/>
            </w:r>
            <w:r>
              <w:rPr>
                <w:color w:val="auto"/>
              </w:rPr>
              <w:t>表1- 9</w:t>
            </w:r>
            <w:r>
              <w:rPr>
                <w:color w:val="auto"/>
              </w:rPr>
              <w:fldChar w:fldCharType="end"/>
            </w:r>
            <w:r>
              <w:rPr>
                <w:color w:val="auto"/>
              </w:rPr>
              <w:t>可知，本</w:t>
            </w:r>
            <w:r>
              <w:rPr>
                <w:rFonts w:hint="eastAsia"/>
                <w:color w:val="auto"/>
              </w:rPr>
              <w:t>项目符合《</w:t>
            </w:r>
            <w:r>
              <w:rPr>
                <w:color w:val="auto"/>
              </w:rPr>
              <w:t>泗阳县纺织印染企业环境治理提升行动方案的通知》</w:t>
            </w:r>
            <w:r>
              <w:rPr>
                <w:rFonts w:hint="eastAsia"/>
                <w:color w:val="auto"/>
              </w:rPr>
              <w:t>（</w:t>
            </w:r>
            <w:r>
              <w:rPr>
                <w:color w:val="auto"/>
              </w:rPr>
              <w:t>泗污防攻坚指办〔</w:t>
            </w:r>
            <w:r>
              <w:rPr>
                <w:rFonts w:hint="eastAsia"/>
                <w:color w:val="auto"/>
              </w:rPr>
              <w:t>2022</w:t>
            </w:r>
            <w:r>
              <w:rPr>
                <w:color w:val="auto"/>
              </w:rPr>
              <w:t>〕2号</w:t>
            </w:r>
            <w:r>
              <w:rPr>
                <w:rFonts w:hint="eastAsia"/>
                <w:color w:val="auto"/>
              </w:rPr>
              <w:t>）的相关要求</w:t>
            </w:r>
            <w:r>
              <w:rPr>
                <w:color w:val="auto"/>
              </w:rPr>
              <w:t>。</w:t>
            </w:r>
          </w:p>
          <w:p w14:paraId="2C662866">
            <w:pPr>
              <w:pStyle w:val="47"/>
              <w:ind w:firstLine="480"/>
              <w:rPr>
                <w:color w:val="auto"/>
              </w:rPr>
            </w:pPr>
          </w:p>
          <w:p w14:paraId="0554D126">
            <w:pPr>
              <w:pStyle w:val="47"/>
              <w:ind w:firstLine="480"/>
              <w:rPr>
                <w:color w:val="auto"/>
              </w:rPr>
            </w:pPr>
          </w:p>
        </w:tc>
      </w:tr>
    </w:tbl>
    <w:p w14:paraId="3943F091">
      <w:pPr>
        <w:pStyle w:val="47"/>
        <w:ind w:firstLine="480"/>
        <w:rPr>
          <w:color w:val="auto"/>
        </w:rPr>
        <w:sectPr>
          <w:footerReference r:id="rId7" w:type="default"/>
          <w:pgSz w:w="11906" w:h="16838"/>
          <w:pgMar w:top="1701" w:right="1417" w:bottom="1701" w:left="1417" w:header="851" w:footer="851" w:gutter="0"/>
          <w:pgNumType w:start="1"/>
          <w:cols w:space="720" w:num="1"/>
          <w:docGrid w:linePitch="312" w:charSpace="0"/>
        </w:sectPr>
      </w:pPr>
    </w:p>
    <w:p w14:paraId="0644EF38">
      <w:pPr>
        <w:pStyle w:val="2"/>
        <w:spacing w:line="240" w:lineRule="auto"/>
        <w:ind w:firstLine="420"/>
        <w:rPr>
          <w:color w:val="auto"/>
        </w:rPr>
      </w:pPr>
      <w:bookmarkStart w:id="18" w:name="_Toc24866"/>
      <w:r>
        <w:rPr>
          <w:color w:val="auto"/>
        </w:rPr>
        <w:t>二、建设项目工程分析</w:t>
      </w:r>
      <w:bookmarkEnd w:id="18"/>
    </w:p>
    <w:tbl>
      <w:tblPr>
        <w:tblStyle w:val="15"/>
        <w:tblW w:w="95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659"/>
      </w:tblGrid>
      <w:tr w14:paraId="7BBF35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865" w:type="dxa"/>
            <w:vAlign w:val="center"/>
          </w:tcPr>
          <w:p w14:paraId="341E2707">
            <w:pPr>
              <w:jc w:val="center"/>
              <w:rPr>
                <w:color w:val="auto"/>
              </w:rPr>
            </w:pPr>
            <w:r>
              <w:rPr>
                <w:color w:val="auto"/>
                <w:sz w:val="24"/>
                <w:szCs w:val="24"/>
              </w:rPr>
              <w:t>建设内容</w:t>
            </w:r>
          </w:p>
        </w:tc>
        <w:tc>
          <w:tcPr>
            <w:tcW w:w="8659" w:type="dxa"/>
          </w:tcPr>
          <w:p w14:paraId="4605DC69">
            <w:pPr>
              <w:pStyle w:val="47"/>
              <w:ind w:firstLine="482"/>
              <w:rPr>
                <w:b/>
                <w:bCs/>
                <w:color w:val="auto"/>
              </w:rPr>
            </w:pPr>
            <w:r>
              <w:rPr>
                <w:b/>
                <w:bCs/>
                <w:color w:val="auto"/>
              </w:rPr>
              <w:t>1、项目由来</w:t>
            </w:r>
          </w:p>
          <w:p w14:paraId="19EABCF2">
            <w:pPr>
              <w:pStyle w:val="47"/>
              <w:ind w:firstLine="480"/>
              <w:rPr>
                <w:color w:val="auto"/>
              </w:rPr>
            </w:pPr>
            <w:r>
              <w:rPr>
                <w:rFonts w:hint="eastAsia"/>
                <w:color w:val="auto"/>
              </w:rPr>
              <w:t>江苏屹能纺织科技有限公司拟投资85000亿元，在泗阳县新袁镇广州路38号征地44000m</w:t>
            </w:r>
            <w:r>
              <w:rPr>
                <w:rFonts w:hint="eastAsia"/>
                <w:color w:val="auto"/>
                <w:vertAlign w:val="superscript"/>
              </w:rPr>
              <w:t>2</w:t>
            </w:r>
            <w:r>
              <w:rPr>
                <w:rFonts w:hint="eastAsia"/>
                <w:color w:val="auto"/>
              </w:rPr>
              <w:t>，新增加弹机、整经机、喷水织机、磨毛机、验布机等设备，以POY丝、加弹油剂为原辅料，新建“年产1.2亿米化纤面料项目”。</w:t>
            </w:r>
            <w:r>
              <w:rPr>
                <w:color w:val="auto"/>
              </w:rPr>
              <w:t>项目已于2025年</w:t>
            </w:r>
            <w:r>
              <w:rPr>
                <w:rFonts w:hint="eastAsia"/>
                <w:color w:val="auto"/>
              </w:rPr>
              <w:t>2</w:t>
            </w:r>
            <w:r>
              <w:rPr>
                <w:color w:val="auto"/>
              </w:rPr>
              <w:t>月</w:t>
            </w:r>
            <w:r>
              <w:rPr>
                <w:rFonts w:hint="eastAsia"/>
                <w:color w:val="auto"/>
              </w:rPr>
              <w:t>18</w:t>
            </w:r>
            <w:r>
              <w:rPr>
                <w:color w:val="auto"/>
              </w:rPr>
              <w:t>日获得</w:t>
            </w:r>
            <w:r>
              <w:rPr>
                <w:rFonts w:hint="eastAsia"/>
                <w:color w:val="auto"/>
              </w:rPr>
              <w:t>宿迁泗阳数据局</w:t>
            </w:r>
            <w:r>
              <w:rPr>
                <w:color w:val="auto"/>
              </w:rPr>
              <w:t>出具的备案证（备案证号为泗阳数据备〔2025〕1</w:t>
            </w:r>
            <w:r>
              <w:rPr>
                <w:rFonts w:hint="eastAsia"/>
                <w:color w:val="auto"/>
              </w:rPr>
              <w:t>1</w:t>
            </w:r>
            <w:r>
              <w:rPr>
                <w:color w:val="auto"/>
              </w:rPr>
              <w:t>0号、项目代码为2502-321323-89-01-784871）</w:t>
            </w:r>
            <w:r>
              <w:rPr>
                <w:rFonts w:hint="eastAsia"/>
                <w:color w:val="auto"/>
              </w:rPr>
              <w:t>。</w:t>
            </w:r>
          </w:p>
          <w:p w14:paraId="36C58C9B">
            <w:pPr>
              <w:pStyle w:val="47"/>
              <w:ind w:firstLine="480"/>
              <w:rPr>
                <w:color w:val="auto"/>
              </w:rPr>
            </w:pPr>
            <w:r>
              <w:rPr>
                <w:color w:val="auto"/>
              </w:rPr>
              <w:t>根据《中华人民共和国环境保护法》《中华人民共和国环境影响评价法》和《建设项目环境保护管理条例》等有关规定，本项目须进行环境影响评价；根据《国民经济行业分类》（GB/T4754-2017）可知，本项目属于C1751化纤织造加工</w:t>
            </w:r>
            <w:r>
              <w:rPr>
                <w:rFonts w:hint="eastAsia"/>
                <w:color w:val="auto"/>
              </w:rPr>
              <w:t>，涉及喷水织造工艺</w:t>
            </w:r>
            <w:r>
              <w:rPr>
                <w:color w:val="auto"/>
              </w:rPr>
              <w:t>；根据《建设项目环境影响评价分类管理名录》（2021年版）的相关规定，本项目应编制环境影响报告表，具体划分依据见</w:t>
            </w:r>
            <w:r>
              <w:rPr>
                <w:color w:val="auto"/>
              </w:rPr>
              <w:fldChar w:fldCharType="begin"/>
            </w:r>
            <w:r>
              <w:rPr>
                <w:color w:val="auto"/>
              </w:rPr>
              <w:instrText xml:space="preserve"> REF _Ref10020 \h </w:instrText>
            </w:r>
            <w:r>
              <w:rPr>
                <w:color w:val="auto"/>
              </w:rPr>
              <w:fldChar w:fldCharType="separate"/>
            </w:r>
            <w:r>
              <w:rPr>
                <w:color w:val="auto"/>
              </w:rPr>
              <w:t>表2- 1</w:t>
            </w:r>
            <w:r>
              <w:rPr>
                <w:color w:val="auto"/>
              </w:rPr>
              <w:fldChar w:fldCharType="end"/>
            </w:r>
            <w:r>
              <w:rPr>
                <w:color w:val="auto"/>
              </w:rPr>
              <w:t>。</w:t>
            </w:r>
          </w:p>
          <w:p w14:paraId="180826AD">
            <w:pPr>
              <w:pStyle w:val="7"/>
              <w:ind w:firstLine="480"/>
              <w:rPr>
                <w:color w:val="auto"/>
              </w:rPr>
            </w:pPr>
            <w:bookmarkStart w:id="19" w:name="_Ref10020"/>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1</w:t>
            </w:r>
            <w:r>
              <w:rPr>
                <w:color w:val="auto"/>
              </w:rPr>
              <w:fldChar w:fldCharType="end"/>
            </w:r>
            <w:bookmarkEnd w:id="19"/>
            <w:r>
              <w:rPr>
                <w:color w:val="auto"/>
              </w:rPr>
              <w:t xml:space="preserve"> 建设项目环境影响评价文件类别判定表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20"/>
              <w:gridCol w:w="2115"/>
              <w:gridCol w:w="1830"/>
            </w:tblGrid>
            <w:tr w14:paraId="52B6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5" w:type="pct"/>
                  <w:tcBorders>
                    <w:tl2br w:val="nil"/>
                    <w:tr2bl w:val="nil"/>
                  </w:tcBorders>
                  <w:vAlign w:val="center"/>
                </w:tcPr>
                <w:p w14:paraId="0FFC0543">
                  <w:pPr>
                    <w:pStyle w:val="49"/>
                    <w:rPr>
                      <w:color w:val="auto"/>
                    </w:rPr>
                  </w:pPr>
                  <w:r>
                    <w:rPr>
                      <w:color w:val="auto"/>
                    </w:rPr>
                    <w:t>环评类别</w:t>
                  </w:r>
                </w:p>
              </w:tc>
              <w:tc>
                <w:tcPr>
                  <w:tcW w:w="1316" w:type="pct"/>
                  <w:tcBorders>
                    <w:tl2br w:val="nil"/>
                    <w:tr2bl w:val="nil"/>
                  </w:tcBorders>
                  <w:shd w:val="clear" w:color="auto" w:fill="auto"/>
                  <w:vAlign w:val="center"/>
                </w:tcPr>
                <w:p w14:paraId="26C1C119">
                  <w:pPr>
                    <w:pStyle w:val="49"/>
                    <w:rPr>
                      <w:color w:val="auto"/>
                    </w:rPr>
                  </w:pPr>
                  <w:r>
                    <w:rPr>
                      <w:color w:val="auto"/>
                    </w:rPr>
                    <w:t>报告书</w:t>
                  </w:r>
                </w:p>
              </w:tc>
              <w:tc>
                <w:tcPr>
                  <w:tcW w:w="1254" w:type="pct"/>
                  <w:tcBorders>
                    <w:tl2br w:val="nil"/>
                    <w:tr2bl w:val="nil"/>
                  </w:tcBorders>
                  <w:shd w:val="clear" w:color="auto" w:fill="D7D7D7" w:themeFill="background1" w:themeFillShade="D8"/>
                  <w:vAlign w:val="center"/>
                </w:tcPr>
                <w:p w14:paraId="15FB3B95">
                  <w:pPr>
                    <w:pStyle w:val="49"/>
                    <w:rPr>
                      <w:color w:val="auto"/>
                    </w:rPr>
                  </w:pPr>
                  <w:r>
                    <w:rPr>
                      <w:color w:val="auto"/>
                    </w:rPr>
                    <w:t>报告表</w:t>
                  </w:r>
                </w:p>
              </w:tc>
              <w:tc>
                <w:tcPr>
                  <w:tcW w:w="1083" w:type="pct"/>
                  <w:tcBorders>
                    <w:tl2br w:val="nil"/>
                    <w:tr2bl w:val="nil"/>
                  </w:tcBorders>
                  <w:vAlign w:val="center"/>
                </w:tcPr>
                <w:p w14:paraId="1261455D">
                  <w:pPr>
                    <w:pStyle w:val="49"/>
                    <w:rPr>
                      <w:color w:val="auto"/>
                    </w:rPr>
                  </w:pPr>
                  <w:r>
                    <w:rPr>
                      <w:color w:val="auto"/>
                    </w:rPr>
                    <w:t>登记表</w:t>
                  </w:r>
                </w:p>
              </w:tc>
            </w:tr>
            <w:tr w14:paraId="2728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4"/>
                  <w:tcBorders>
                    <w:tl2br w:val="nil"/>
                    <w:tr2bl w:val="nil"/>
                  </w:tcBorders>
                  <w:shd w:val="clear" w:color="auto" w:fill="auto"/>
                  <w:vAlign w:val="center"/>
                </w:tcPr>
                <w:p w14:paraId="65096188">
                  <w:pPr>
                    <w:pStyle w:val="49"/>
                    <w:jc w:val="left"/>
                    <w:rPr>
                      <w:color w:val="auto"/>
                    </w:rPr>
                  </w:pPr>
                  <w:r>
                    <w:rPr>
                      <w:rFonts w:hint="eastAsia"/>
                      <w:color w:val="auto"/>
                    </w:rPr>
                    <w:t>十四、纺织业 17</w:t>
                  </w:r>
                </w:p>
              </w:tc>
            </w:tr>
            <w:tr w14:paraId="2401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5" w:type="pct"/>
                  <w:tcBorders>
                    <w:tl2br w:val="nil"/>
                    <w:tr2bl w:val="nil"/>
                  </w:tcBorders>
                  <w:shd w:val="clear" w:color="auto" w:fill="auto"/>
                  <w:vAlign w:val="center"/>
                </w:tcPr>
                <w:p w14:paraId="4A7898AB">
                  <w:pPr>
                    <w:pStyle w:val="51"/>
                    <w:rPr>
                      <w:color w:val="auto"/>
                    </w:rPr>
                  </w:pPr>
                  <w:r>
                    <w:rPr>
                      <w:rFonts w:hint="eastAsia"/>
                      <w:color w:val="auto"/>
                    </w:rPr>
                    <w:t>28 化纤织造及印染精加工 175</w:t>
                  </w:r>
                </w:p>
              </w:tc>
              <w:tc>
                <w:tcPr>
                  <w:tcW w:w="1316" w:type="pct"/>
                  <w:tcBorders>
                    <w:tl2br w:val="nil"/>
                    <w:tr2bl w:val="nil"/>
                  </w:tcBorders>
                  <w:shd w:val="clear" w:color="auto" w:fill="auto"/>
                  <w:vAlign w:val="center"/>
                </w:tcPr>
                <w:p w14:paraId="5400A905">
                  <w:pPr>
                    <w:pStyle w:val="51"/>
                    <w:rPr>
                      <w:color w:val="auto"/>
                    </w:rPr>
                  </w:pPr>
                  <w:r>
                    <w:rPr>
                      <w:rFonts w:hint="eastAsia"/>
                      <w:color w:val="auto"/>
                    </w:rPr>
                    <w:t>有洗毛、脱胶、缫丝工艺的；染整工艺有前处理、染色、印花（喷墨印花和数码印花的除外）工序的；有使用有机溶剂的涂层工艺</w:t>
                  </w:r>
                </w:p>
              </w:tc>
              <w:tc>
                <w:tcPr>
                  <w:tcW w:w="1254" w:type="pct"/>
                  <w:tcBorders>
                    <w:tl2br w:val="nil"/>
                    <w:tr2bl w:val="nil"/>
                  </w:tcBorders>
                  <w:shd w:val="clear" w:color="auto" w:fill="D7D7D7" w:themeFill="background1" w:themeFillShade="D8"/>
                  <w:vAlign w:val="center"/>
                </w:tcPr>
                <w:p w14:paraId="5CE220BD">
                  <w:pPr>
                    <w:pStyle w:val="51"/>
                    <w:rPr>
                      <w:color w:val="auto"/>
                    </w:rPr>
                  </w:pPr>
                  <w:r>
                    <w:rPr>
                      <w:rFonts w:hint="eastAsia"/>
                      <w:color w:val="auto"/>
                    </w:rPr>
                    <w:t>有喷墨印花或数码印花工艺的；后整理工序涉及有机溶剂的；有喷水织造工艺的；有水刺无纺布织造工艺的</w:t>
                  </w:r>
                </w:p>
              </w:tc>
              <w:tc>
                <w:tcPr>
                  <w:tcW w:w="1083" w:type="pct"/>
                  <w:tcBorders>
                    <w:tl2br w:val="nil"/>
                    <w:tr2bl w:val="nil"/>
                  </w:tcBorders>
                  <w:vAlign w:val="center"/>
                </w:tcPr>
                <w:p w14:paraId="500627DF">
                  <w:pPr>
                    <w:pStyle w:val="51"/>
                    <w:rPr>
                      <w:color w:val="auto"/>
                    </w:rPr>
                  </w:pPr>
                  <w:r>
                    <w:rPr>
                      <w:color w:val="auto"/>
                    </w:rPr>
                    <w:t>/</w:t>
                  </w:r>
                </w:p>
              </w:tc>
            </w:tr>
          </w:tbl>
          <w:p w14:paraId="06AC4B83">
            <w:pPr>
              <w:pStyle w:val="47"/>
              <w:ind w:firstLine="480"/>
              <w:rPr>
                <w:color w:val="auto"/>
              </w:rPr>
            </w:pPr>
            <w:r>
              <w:rPr>
                <w:color w:val="auto"/>
              </w:rPr>
              <w:t>因此，</w:t>
            </w:r>
            <w:r>
              <w:rPr>
                <w:rFonts w:hint="eastAsia"/>
                <w:color w:val="auto"/>
              </w:rPr>
              <w:t>江苏屹能纺织科技有限公司</w:t>
            </w:r>
            <w:r>
              <w:rPr>
                <w:color w:val="auto"/>
              </w:rPr>
              <w:t>委托江苏联晟生态环境科技有限公司进行环境影响评价工作。江苏联晟生态环境科技有限公司在接受委托后，对建设项目地进行踏勘，了解周边环境，</w:t>
            </w:r>
            <w:r>
              <w:rPr>
                <w:rFonts w:hint="eastAsia"/>
                <w:color w:val="auto"/>
              </w:rPr>
              <w:t>开展</w:t>
            </w:r>
            <w:r>
              <w:rPr>
                <w:color w:val="auto"/>
              </w:rPr>
              <w:t>环境影响评价工作。依据《环境影响评价技术导则》和《建设项目环境影响报告表（污染影响类）（试行）》要求，对项目产生的污染和对环境的影响进行分析，从环境保护角度评估项目建设的可行性，编制了本报告表。</w:t>
            </w:r>
          </w:p>
          <w:p w14:paraId="7918932B">
            <w:pPr>
              <w:pStyle w:val="47"/>
              <w:ind w:firstLine="480"/>
              <w:rPr>
                <w:color w:val="auto"/>
              </w:rPr>
            </w:pPr>
            <w:r>
              <w:rPr>
                <w:color w:val="auto"/>
              </w:rPr>
              <w:t>根据《江苏省排污权有偿使用和交易管理暂行办法》和《江苏省排污权有偿使用和交易实施细则（试行）》，在排污许可证中载明许可排放量的排污单位，应在申领排污许可证时取得排污权。对照《固定污染源排污许可分类管理名录（2019年版）》，本项目属于</w:t>
            </w:r>
            <w:r>
              <w:rPr>
                <w:rFonts w:hint="eastAsia"/>
                <w:color w:val="auto"/>
              </w:rPr>
              <w:t>重点</w:t>
            </w:r>
            <w:r>
              <w:rPr>
                <w:color w:val="auto"/>
              </w:rPr>
              <w:t>管理，</w:t>
            </w:r>
            <w:r>
              <w:rPr>
                <w:rFonts w:hint="eastAsia"/>
                <w:color w:val="auto"/>
              </w:rPr>
              <w:t>具体划分</w:t>
            </w:r>
            <w:r>
              <w:rPr>
                <w:color w:val="auto"/>
              </w:rPr>
              <w:t>详见</w:t>
            </w:r>
            <w:r>
              <w:rPr>
                <w:color w:val="auto"/>
              </w:rPr>
              <w:fldChar w:fldCharType="begin"/>
            </w:r>
            <w:r>
              <w:rPr>
                <w:color w:val="auto"/>
              </w:rPr>
              <w:instrText xml:space="preserve"> REF _Ref1243 \h </w:instrText>
            </w:r>
            <w:r>
              <w:rPr>
                <w:color w:val="auto"/>
              </w:rPr>
              <w:fldChar w:fldCharType="separate"/>
            </w:r>
            <w:r>
              <w:rPr>
                <w:color w:val="auto"/>
              </w:rPr>
              <w:t>表2- 2</w:t>
            </w:r>
            <w:r>
              <w:rPr>
                <w:color w:val="auto"/>
              </w:rPr>
              <w:fldChar w:fldCharType="end"/>
            </w:r>
            <w:r>
              <w:rPr>
                <w:color w:val="auto"/>
              </w:rPr>
              <w:t>。</w:t>
            </w:r>
          </w:p>
          <w:p w14:paraId="78C60E91">
            <w:pPr>
              <w:pStyle w:val="7"/>
              <w:rPr>
                <w:color w:val="auto"/>
              </w:rPr>
            </w:pPr>
            <w:bookmarkStart w:id="20" w:name="_Ref24428"/>
          </w:p>
          <w:p w14:paraId="099CAD9C">
            <w:pPr>
              <w:pStyle w:val="7"/>
              <w:rPr>
                <w:color w:val="auto"/>
              </w:rPr>
            </w:pPr>
          </w:p>
          <w:p w14:paraId="724176F0">
            <w:pPr>
              <w:pStyle w:val="7"/>
              <w:rPr>
                <w:color w:val="auto"/>
              </w:rPr>
            </w:pPr>
            <w:bookmarkStart w:id="21" w:name="_Ref1243"/>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2</w:t>
            </w:r>
            <w:r>
              <w:rPr>
                <w:color w:val="auto"/>
              </w:rPr>
              <w:fldChar w:fldCharType="end"/>
            </w:r>
            <w:bookmarkEnd w:id="20"/>
            <w:bookmarkEnd w:id="21"/>
            <w:r>
              <w:rPr>
                <w:color w:val="auto"/>
              </w:rPr>
              <w:t xml:space="preserve"> </w:t>
            </w:r>
            <w:r>
              <w:rPr>
                <w:rFonts w:hint="eastAsia"/>
                <w:color w:val="auto"/>
              </w:rPr>
              <w:t>项目排污管理类别判定表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35"/>
              <w:gridCol w:w="2729"/>
              <w:gridCol w:w="1874"/>
              <w:gridCol w:w="1219"/>
            </w:tblGrid>
            <w:tr w14:paraId="346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1" w:type="pct"/>
                  <w:shd w:val="clear" w:color="auto" w:fill="auto"/>
                  <w:vAlign w:val="center"/>
                </w:tcPr>
                <w:p w14:paraId="2B68017B">
                  <w:pPr>
                    <w:pStyle w:val="49"/>
                    <w:rPr>
                      <w:color w:val="auto"/>
                    </w:rPr>
                  </w:pPr>
                  <w:r>
                    <w:rPr>
                      <w:color w:val="auto"/>
                    </w:rPr>
                    <w:t>序号</w:t>
                  </w:r>
                </w:p>
              </w:tc>
              <w:tc>
                <w:tcPr>
                  <w:tcW w:w="1147" w:type="pct"/>
                  <w:shd w:val="clear" w:color="auto" w:fill="auto"/>
                  <w:vAlign w:val="center"/>
                </w:tcPr>
                <w:p w14:paraId="787D81C3">
                  <w:pPr>
                    <w:pStyle w:val="49"/>
                    <w:rPr>
                      <w:color w:val="auto"/>
                    </w:rPr>
                  </w:pPr>
                  <w:r>
                    <w:rPr>
                      <w:color w:val="auto"/>
                    </w:rPr>
                    <w:t>行业类别</w:t>
                  </w:r>
                </w:p>
              </w:tc>
              <w:tc>
                <w:tcPr>
                  <w:tcW w:w="1618" w:type="pct"/>
                  <w:shd w:val="clear" w:color="auto" w:fill="D7D7D7" w:themeFill="background1" w:themeFillShade="D8"/>
                  <w:vAlign w:val="center"/>
                </w:tcPr>
                <w:p w14:paraId="7EF929AD">
                  <w:pPr>
                    <w:pStyle w:val="49"/>
                    <w:rPr>
                      <w:color w:val="auto"/>
                    </w:rPr>
                  </w:pPr>
                  <w:r>
                    <w:rPr>
                      <w:color w:val="auto"/>
                    </w:rPr>
                    <w:t>重点管理</w:t>
                  </w:r>
                </w:p>
              </w:tc>
              <w:tc>
                <w:tcPr>
                  <w:tcW w:w="1111" w:type="pct"/>
                  <w:shd w:val="clear" w:color="auto" w:fill="auto"/>
                  <w:vAlign w:val="center"/>
                </w:tcPr>
                <w:p w14:paraId="2F21638F">
                  <w:pPr>
                    <w:pStyle w:val="49"/>
                    <w:rPr>
                      <w:color w:val="auto"/>
                    </w:rPr>
                  </w:pPr>
                  <w:r>
                    <w:rPr>
                      <w:color w:val="auto"/>
                    </w:rPr>
                    <w:t>简化管理</w:t>
                  </w:r>
                </w:p>
              </w:tc>
              <w:tc>
                <w:tcPr>
                  <w:tcW w:w="720" w:type="pct"/>
                  <w:shd w:val="clear" w:color="auto" w:fill="auto"/>
                  <w:vAlign w:val="center"/>
                </w:tcPr>
                <w:p w14:paraId="3760DC9F">
                  <w:pPr>
                    <w:pStyle w:val="49"/>
                    <w:rPr>
                      <w:color w:val="auto"/>
                    </w:rPr>
                  </w:pPr>
                  <w:r>
                    <w:rPr>
                      <w:color w:val="auto"/>
                    </w:rPr>
                    <w:t>登记管理</w:t>
                  </w:r>
                </w:p>
              </w:tc>
            </w:tr>
            <w:tr w14:paraId="4148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5000" w:type="pct"/>
                  <w:gridSpan w:val="5"/>
                  <w:shd w:val="clear" w:color="auto" w:fill="auto"/>
                  <w:vAlign w:val="center"/>
                </w:tcPr>
                <w:p w14:paraId="20F7F550">
                  <w:pPr>
                    <w:pStyle w:val="49"/>
                    <w:jc w:val="left"/>
                    <w:rPr>
                      <w:color w:val="auto"/>
                    </w:rPr>
                  </w:pPr>
                  <w:r>
                    <w:rPr>
                      <w:rFonts w:hint="eastAsia"/>
                      <w:color w:val="auto"/>
                    </w:rPr>
                    <w:t>十二、纺织业 17</w:t>
                  </w:r>
                </w:p>
              </w:tc>
            </w:tr>
            <w:tr w14:paraId="6F3F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01" w:type="pct"/>
                  <w:shd w:val="clear" w:color="auto" w:fill="auto"/>
                  <w:vAlign w:val="center"/>
                </w:tcPr>
                <w:p w14:paraId="4389097D">
                  <w:pPr>
                    <w:pStyle w:val="51"/>
                    <w:rPr>
                      <w:color w:val="auto"/>
                    </w:rPr>
                  </w:pPr>
                  <w:r>
                    <w:rPr>
                      <w:rFonts w:hint="eastAsia"/>
                      <w:color w:val="auto"/>
                    </w:rPr>
                    <w:t>25</w:t>
                  </w:r>
                </w:p>
              </w:tc>
              <w:tc>
                <w:tcPr>
                  <w:tcW w:w="1147" w:type="pct"/>
                  <w:shd w:val="clear" w:color="auto" w:fill="auto"/>
                  <w:vAlign w:val="center"/>
                </w:tcPr>
                <w:p w14:paraId="288A16E4">
                  <w:pPr>
                    <w:pStyle w:val="51"/>
                    <w:rPr>
                      <w:color w:val="auto"/>
                    </w:rPr>
                  </w:pPr>
                  <w:r>
                    <w:rPr>
                      <w:rFonts w:hint="eastAsia"/>
                      <w:color w:val="auto"/>
                    </w:rPr>
                    <w:t>化纤织造及印染精加工</w:t>
                  </w:r>
                </w:p>
              </w:tc>
              <w:tc>
                <w:tcPr>
                  <w:tcW w:w="1618" w:type="pct"/>
                  <w:shd w:val="clear" w:color="auto" w:fill="D7D7D7" w:themeFill="background1" w:themeFillShade="D8"/>
                  <w:vAlign w:val="center"/>
                </w:tcPr>
                <w:p w14:paraId="4D9B5D39">
                  <w:pPr>
                    <w:pStyle w:val="51"/>
                    <w:rPr>
                      <w:color w:val="auto"/>
                    </w:rPr>
                  </w:pPr>
                  <w:r>
                    <w:rPr>
                      <w:color w:val="auto"/>
                    </w:rPr>
                    <w:t>有前处理、染色、印花、洗毛、麻脱胶、缫丝或者喷水织造工序的</w:t>
                  </w:r>
                </w:p>
              </w:tc>
              <w:tc>
                <w:tcPr>
                  <w:tcW w:w="1111" w:type="pct"/>
                  <w:shd w:val="clear" w:color="auto" w:fill="auto"/>
                  <w:vAlign w:val="center"/>
                </w:tcPr>
                <w:p w14:paraId="641507E4">
                  <w:pPr>
                    <w:pStyle w:val="51"/>
                    <w:rPr>
                      <w:color w:val="auto"/>
                    </w:rPr>
                  </w:pPr>
                  <w:r>
                    <w:rPr>
                      <w:color w:val="auto"/>
                    </w:rPr>
                    <w:t>仅含整理工序的</w:t>
                  </w:r>
                </w:p>
              </w:tc>
              <w:tc>
                <w:tcPr>
                  <w:tcW w:w="720" w:type="pct"/>
                  <w:shd w:val="clear" w:color="auto" w:fill="auto"/>
                  <w:vAlign w:val="center"/>
                </w:tcPr>
                <w:p w14:paraId="5D7545CD">
                  <w:pPr>
                    <w:pStyle w:val="51"/>
                    <w:rPr>
                      <w:color w:val="auto"/>
                    </w:rPr>
                  </w:pPr>
                  <w:r>
                    <w:rPr>
                      <w:color w:val="auto"/>
                    </w:rPr>
                    <w:t>其他</w:t>
                  </w:r>
                </w:p>
              </w:tc>
            </w:tr>
          </w:tbl>
          <w:p w14:paraId="09CB2ECA">
            <w:pPr>
              <w:pStyle w:val="47"/>
              <w:ind w:firstLine="482"/>
              <w:rPr>
                <w:b/>
                <w:bCs/>
                <w:color w:val="auto"/>
              </w:rPr>
            </w:pPr>
            <w:r>
              <w:rPr>
                <w:b/>
                <w:bCs/>
                <w:color w:val="auto"/>
              </w:rPr>
              <w:t>2、产品方案建设内容</w:t>
            </w:r>
          </w:p>
          <w:p w14:paraId="498D0289">
            <w:pPr>
              <w:pStyle w:val="47"/>
              <w:ind w:firstLine="480"/>
              <w:rPr>
                <w:color w:val="auto"/>
              </w:rPr>
            </w:pPr>
            <w:r>
              <w:rPr>
                <w:color w:val="auto"/>
              </w:rPr>
              <w:t>本项目产品方案见</w:t>
            </w:r>
            <w:r>
              <w:rPr>
                <w:color w:val="auto"/>
              </w:rPr>
              <w:fldChar w:fldCharType="begin"/>
            </w:r>
            <w:r>
              <w:rPr>
                <w:color w:val="auto"/>
              </w:rPr>
              <w:instrText xml:space="preserve"> REF _Ref19894 \h </w:instrText>
            </w:r>
            <w:r>
              <w:rPr>
                <w:color w:val="auto"/>
              </w:rPr>
              <w:fldChar w:fldCharType="separate"/>
            </w:r>
            <w:r>
              <w:rPr>
                <w:color w:val="auto"/>
              </w:rPr>
              <w:t>表2- 3</w:t>
            </w:r>
            <w:r>
              <w:rPr>
                <w:color w:val="auto"/>
              </w:rPr>
              <w:fldChar w:fldCharType="end"/>
            </w:r>
            <w:r>
              <w:rPr>
                <w:color w:val="auto"/>
              </w:rPr>
              <w:t>。</w:t>
            </w:r>
          </w:p>
          <w:p w14:paraId="52B7ABB3">
            <w:pPr>
              <w:pStyle w:val="7"/>
              <w:rPr>
                <w:color w:val="auto"/>
              </w:rPr>
            </w:pPr>
            <w:bookmarkStart w:id="22" w:name="_Ref18036"/>
            <w:bookmarkStart w:id="23" w:name="_Ref19894"/>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3</w:t>
            </w:r>
            <w:r>
              <w:rPr>
                <w:color w:val="auto"/>
              </w:rPr>
              <w:fldChar w:fldCharType="end"/>
            </w:r>
            <w:bookmarkEnd w:id="22"/>
            <w:bookmarkEnd w:id="23"/>
            <w:r>
              <w:rPr>
                <w:color w:val="auto"/>
              </w:rPr>
              <w:t xml:space="preserve"> 项目产品方案一览表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8"/>
              <w:gridCol w:w="2386"/>
              <w:gridCol w:w="2660"/>
              <w:gridCol w:w="1279"/>
            </w:tblGrid>
            <w:tr w14:paraId="7CB1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08" w:type="dxa"/>
                  <w:tcBorders>
                    <w:tl2br w:val="nil"/>
                    <w:tr2bl w:val="nil"/>
                  </w:tcBorders>
                  <w:vAlign w:val="center"/>
                </w:tcPr>
                <w:p w14:paraId="0B343F88">
                  <w:pPr>
                    <w:pStyle w:val="49"/>
                    <w:rPr>
                      <w:color w:val="auto"/>
                    </w:rPr>
                  </w:pPr>
                  <w:r>
                    <w:rPr>
                      <w:color w:val="auto"/>
                    </w:rPr>
                    <w:t>产品名称</w:t>
                  </w:r>
                </w:p>
              </w:tc>
              <w:tc>
                <w:tcPr>
                  <w:tcW w:w="2386" w:type="dxa"/>
                  <w:tcBorders>
                    <w:tl2br w:val="nil"/>
                    <w:tr2bl w:val="nil"/>
                  </w:tcBorders>
                  <w:vAlign w:val="center"/>
                </w:tcPr>
                <w:p w14:paraId="349A8A41">
                  <w:pPr>
                    <w:pStyle w:val="49"/>
                    <w:rPr>
                      <w:color w:val="auto"/>
                    </w:rPr>
                  </w:pPr>
                  <w:r>
                    <w:rPr>
                      <w:color w:val="auto"/>
                    </w:rPr>
                    <w:t>年产量</w:t>
                  </w:r>
                  <w:r>
                    <w:rPr>
                      <w:rFonts w:hint="eastAsia"/>
                      <w:color w:val="auto"/>
                    </w:rPr>
                    <w:t>（m/a）</w:t>
                  </w:r>
                </w:p>
              </w:tc>
              <w:tc>
                <w:tcPr>
                  <w:tcW w:w="2660" w:type="dxa"/>
                  <w:tcBorders>
                    <w:tl2br w:val="nil"/>
                    <w:tr2bl w:val="nil"/>
                  </w:tcBorders>
                  <w:vAlign w:val="center"/>
                </w:tcPr>
                <w:p w14:paraId="33FCA73B">
                  <w:pPr>
                    <w:pStyle w:val="49"/>
                    <w:rPr>
                      <w:color w:val="auto"/>
                    </w:rPr>
                  </w:pPr>
                  <w:r>
                    <w:rPr>
                      <w:rFonts w:hint="eastAsia"/>
                      <w:color w:val="auto"/>
                    </w:rPr>
                    <w:t>年运行时长（h）</w:t>
                  </w:r>
                </w:p>
              </w:tc>
              <w:tc>
                <w:tcPr>
                  <w:tcW w:w="1279" w:type="dxa"/>
                  <w:tcBorders>
                    <w:tl2br w:val="nil"/>
                    <w:tr2bl w:val="nil"/>
                  </w:tcBorders>
                  <w:vAlign w:val="center"/>
                </w:tcPr>
                <w:p w14:paraId="6F017802">
                  <w:pPr>
                    <w:pStyle w:val="49"/>
                    <w:rPr>
                      <w:color w:val="auto"/>
                    </w:rPr>
                  </w:pPr>
                  <w:r>
                    <w:rPr>
                      <w:color w:val="auto"/>
                    </w:rPr>
                    <w:t>备注</w:t>
                  </w:r>
                </w:p>
              </w:tc>
            </w:tr>
            <w:tr w14:paraId="364D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08" w:type="dxa"/>
                  <w:tcBorders>
                    <w:tl2br w:val="nil"/>
                    <w:tr2bl w:val="nil"/>
                  </w:tcBorders>
                  <w:vAlign w:val="center"/>
                </w:tcPr>
                <w:p w14:paraId="338C3EAC">
                  <w:pPr>
                    <w:pStyle w:val="51"/>
                    <w:rPr>
                      <w:color w:val="auto"/>
                    </w:rPr>
                  </w:pPr>
                  <w:r>
                    <w:rPr>
                      <w:rFonts w:hint="eastAsia"/>
                      <w:color w:val="auto"/>
                    </w:rPr>
                    <w:t>化纤面料</w:t>
                  </w:r>
                </w:p>
              </w:tc>
              <w:tc>
                <w:tcPr>
                  <w:tcW w:w="2386" w:type="dxa"/>
                  <w:tcBorders>
                    <w:tl2br w:val="nil"/>
                    <w:tr2bl w:val="nil"/>
                  </w:tcBorders>
                  <w:vAlign w:val="center"/>
                </w:tcPr>
                <w:p w14:paraId="52F34120">
                  <w:pPr>
                    <w:pStyle w:val="51"/>
                    <w:rPr>
                      <w:color w:val="auto"/>
                    </w:rPr>
                  </w:pPr>
                  <w:r>
                    <w:rPr>
                      <w:rFonts w:hint="eastAsia"/>
                      <w:color w:val="auto"/>
                    </w:rPr>
                    <w:t>1.2亿</w:t>
                  </w:r>
                </w:p>
              </w:tc>
              <w:tc>
                <w:tcPr>
                  <w:tcW w:w="2660" w:type="dxa"/>
                  <w:tcBorders>
                    <w:tl2br w:val="nil"/>
                    <w:tr2bl w:val="nil"/>
                  </w:tcBorders>
                  <w:shd w:val="clear" w:color="auto" w:fill="auto"/>
                  <w:vAlign w:val="center"/>
                </w:tcPr>
                <w:p w14:paraId="2D475B81">
                  <w:pPr>
                    <w:pStyle w:val="51"/>
                    <w:rPr>
                      <w:color w:val="auto"/>
                    </w:rPr>
                  </w:pPr>
                  <w:r>
                    <w:rPr>
                      <w:rFonts w:hint="eastAsia"/>
                      <w:color w:val="auto"/>
                    </w:rPr>
                    <w:t>300</w:t>
                  </w:r>
                  <w:r>
                    <w:rPr>
                      <w:color w:val="auto"/>
                    </w:rPr>
                    <w:t>×</w:t>
                  </w:r>
                  <w:r>
                    <w:rPr>
                      <w:rFonts w:hint="eastAsia"/>
                      <w:color w:val="auto"/>
                    </w:rPr>
                    <w:t>8</w:t>
                  </w:r>
                  <w:r>
                    <w:rPr>
                      <w:color w:val="auto"/>
                    </w:rPr>
                    <w:t>×</w:t>
                  </w:r>
                  <w:r>
                    <w:rPr>
                      <w:rFonts w:hint="eastAsia"/>
                      <w:color w:val="auto"/>
                    </w:rPr>
                    <w:t>3=7200</w:t>
                  </w:r>
                </w:p>
              </w:tc>
              <w:tc>
                <w:tcPr>
                  <w:tcW w:w="1279" w:type="dxa"/>
                  <w:tcBorders>
                    <w:tl2br w:val="nil"/>
                    <w:tr2bl w:val="nil"/>
                  </w:tcBorders>
                  <w:shd w:val="clear" w:color="auto" w:fill="auto"/>
                  <w:vAlign w:val="center"/>
                </w:tcPr>
                <w:p w14:paraId="684AF2A4">
                  <w:pPr>
                    <w:pStyle w:val="51"/>
                    <w:rPr>
                      <w:color w:val="auto"/>
                    </w:rPr>
                  </w:pPr>
                  <w:r>
                    <w:rPr>
                      <w:color w:val="auto"/>
                    </w:rPr>
                    <w:t>/</w:t>
                  </w:r>
                </w:p>
              </w:tc>
            </w:tr>
          </w:tbl>
          <w:p w14:paraId="57B503AA">
            <w:pPr>
              <w:pStyle w:val="47"/>
              <w:ind w:firstLine="482"/>
              <w:rPr>
                <w:b/>
                <w:bCs/>
                <w:color w:val="auto"/>
              </w:rPr>
            </w:pPr>
            <w:r>
              <w:rPr>
                <w:b/>
                <w:bCs/>
                <w:color w:val="auto"/>
              </w:rPr>
              <w:t>3、公用工程及辅助工程</w:t>
            </w:r>
          </w:p>
          <w:p w14:paraId="7D13B392">
            <w:pPr>
              <w:pStyle w:val="47"/>
              <w:ind w:firstLine="480"/>
              <w:rPr>
                <w:color w:val="auto"/>
              </w:rPr>
            </w:pPr>
            <w:r>
              <w:rPr>
                <w:color w:val="auto"/>
              </w:rPr>
              <w:t>本项目位于泗阳县新袁镇广州路28号，项目总用地面积为</w:t>
            </w:r>
            <w:r>
              <w:rPr>
                <w:rFonts w:hint="eastAsia"/>
                <w:color w:val="auto"/>
              </w:rPr>
              <w:t>44000</w:t>
            </w:r>
            <w:r>
              <w:rPr>
                <w:color w:val="auto"/>
              </w:rPr>
              <w:t>m</w:t>
            </w:r>
            <w:r>
              <w:rPr>
                <w:color w:val="auto"/>
                <w:vertAlign w:val="superscript"/>
              </w:rPr>
              <w:t>2</w:t>
            </w:r>
            <w:r>
              <w:rPr>
                <w:color w:val="auto"/>
              </w:rPr>
              <w:t>，建筑总占地面积为</w:t>
            </w:r>
            <w:r>
              <w:rPr>
                <w:rFonts w:hint="eastAsia"/>
                <w:color w:val="auto"/>
              </w:rPr>
              <w:t>31920</w:t>
            </w:r>
            <w:r>
              <w:rPr>
                <w:color w:val="auto"/>
              </w:rPr>
              <w:t>m</w:t>
            </w:r>
            <w:r>
              <w:rPr>
                <w:color w:val="auto"/>
                <w:vertAlign w:val="superscript"/>
              </w:rPr>
              <w:t>2</w:t>
            </w:r>
            <w:r>
              <w:rPr>
                <w:color w:val="auto"/>
              </w:rPr>
              <w:t>，总建筑面积为</w:t>
            </w:r>
            <w:r>
              <w:rPr>
                <w:rFonts w:hint="eastAsia"/>
                <w:color w:val="auto"/>
              </w:rPr>
              <w:t>32012</w:t>
            </w:r>
            <w:r>
              <w:rPr>
                <w:color w:val="auto"/>
              </w:rPr>
              <w:t>m</w:t>
            </w:r>
            <w:r>
              <w:rPr>
                <w:color w:val="auto"/>
                <w:vertAlign w:val="superscript"/>
              </w:rPr>
              <w:t>2</w:t>
            </w:r>
            <w:r>
              <w:rPr>
                <w:color w:val="auto"/>
              </w:rPr>
              <w:t>。项目公用及辅助工程详见</w:t>
            </w:r>
            <w:r>
              <w:rPr>
                <w:color w:val="auto"/>
              </w:rPr>
              <w:fldChar w:fldCharType="begin"/>
            </w:r>
            <w:r>
              <w:rPr>
                <w:color w:val="auto"/>
              </w:rPr>
              <w:instrText xml:space="preserve"> REF _Ref26268 \h </w:instrText>
            </w:r>
            <w:r>
              <w:rPr>
                <w:color w:val="auto"/>
              </w:rPr>
              <w:fldChar w:fldCharType="separate"/>
            </w:r>
            <w:r>
              <w:rPr>
                <w:color w:val="auto"/>
              </w:rPr>
              <w:t>表2- 4</w:t>
            </w:r>
            <w:r>
              <w:rPr>
                <w:color w:val="auto"/>
              </w:rPr>
              <w:fldChar w:fldCharType="end"/>
            </w:r>
            <w:r>
              <w:rPr>
                <w:color w:val="auto"/>
              </w:rPr>
              <w:t>。</w:t>
            </w:r>
            <w:bookmarkStart w:id="24" w:name="_Ref29271"/>
          </w:p>
          <w:p w14:paraId="76B12CFD">
            <w:pPr>
              <w:pStyle w:val="7"/>
              <w:rPr>
                <w:color w:val="auto"/>
              </w:rPr>
            </w:pPr>
            <w:bookmarkStart w:id="25" w:name="_Ref6793"/>
            <w:bookmarkStart w:id="26" w:name="_Ref26268"/>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4</w:t>
            </w:r>
            <w:r>
              <w:rPr>
                <w:color w:val="auto"/>
              </w:rPr>
              <w:fldChar w:fldCharType="end"/>
            </w:r>
            <w:bookmarkEnd w:id="24"/>
            <w:bookmarkEnd w:id="25"/>
            <w:bookmarkEnd w:id="26"/>
            <w:r>
              <w:rPr>
                <w:color w:val="auto"/>
              </w:rPr>
              <w:t xml:space="preserve"> 项目公用及辅助工程一览表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408"/>
              <w:gridCol w:w="794"/>
              <w:gridCol w:w="3171"/>
              <w:gridCol w:w="3407"/>
            </w:tblGrid>
            <w:tr w14:paraId="4FC9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tcBorders>
                    <w:tl2br w:val="nil"/>
                    <w:tr2bl w:val="nil"/>
                  </w:tcBorders>
                  <w:vAlign w:val="center"/>
                </w:tcPr>
                <w:p w14:paraId="66BBFDD0">
                  <w:pPr>
                    <w:pStyle w:val="49"/>
                    <w:rPr>
                      <w:color w:val="auto"/>
                    </w:rPr>
                  </w:pPr>
                  <w:r>
                    <w:rPr>
                      <w:color w:val="auto"/>
                    </w:rPr>
                    <w:t>类别</w:t>
                  </w:r>
                </w:p>
              </w:tc>
              <w:tc>
                <w:tcPr>
                  <w:tcW w:w="712" w:type="pct"/>
                  <w:gridSpan w:val="2"/>
                  <w:tcBorders>
                    <w:tl2br w:val="nil"/>
                    <w:tr2bl w:val="nil"/>
                  </w:tcBorders>
                  <w:vAlign w:val="center"/>
                </w:tcPr>
                <w:p w14:paraId="2296F2CB">
                  <w:pPr>
                    <w:pStyle w:val="49"/>
                    <w:rPr>
                      <w:color w:val="auto"/>
                    </w:rPr>
                  </w:pPr>
                  <w:r>
                    <w:rPr>
                      <w:color w:val="auto"/>
                    </w:rPr>
                    <w:t>建设名称</w:t>
                  </w:r>
                </w:p>
              </w:tc>
              <w:tc>
                <w:tcPr>
                  <w:tcW w:w="1880" w:type="pct"/>
                  <w:tcBorders>
                    <w:tl2br w:val="nil"/>
                    <w:tr2bl w:val="nil"/>
                  </w:tcBorders>
                  <w:vAlign w:val="center"/>
                </w:tcPr>
                <w:p w14:paraId="44BDF41E">
                  <w:pPr>
                    <w:pStyle w:val="49"/>
                    <w:rPr>
                      <w:color w:val="auto"/>
                    </w:rPr>
                  </w:pPr>
                  <w:r>
                    <w:rPr>
                      <w:color w:val="auto"/>
                    </w:rPr>
                    <w:t>建设内容</w:t>
                  </w:r>
                </w:p>
              </w:tc>
              <w:tc>
                <w:tcPr>
                  <w:tcW w:w="2020" w:type="pct"/>
                  <w:tcBorders>
                    <w:tl2br w:val="nil"/>
                    <w:tr2bl w:val="nil"/>
                  </w:tcBorders>
                  <w:vAlign w:val="center"/>
                </w:tcPr>
                <w:p w14:paraId="58A61B0D">
                  <w:pPr>
                    <w:pStyle w:val="49"/>
                    <w:rPr>
                      <w:color w:val="auto"/>
                    </w:rPr>
                  </w:pPr>
                  <w:r>
                    <w:rPr>
                      <w:color w:val="auto"/>
                    </w:rPr>
                    <w:t>备注</w:t>
                  </w:r>
                </w:p>
              </w:tc>
            </w:tr>
            <w:tr w14:paraId="2E56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tcBorders>
                    <w:tl2br w:val="nil"/>
                    <w:tr2bl w:val="nil"/>
                  </w:tcBorders>
                  <w:vAlign w:val="center"/>
                </w:tcPr>
                <w:p w14:paraId="4CFCD386">
                  <w:pPr>
                    <w:pStyle w:val="51"/>
                    <w:rPr>
                      <w:color w:val="auto"/>
                    </w:rPr>
                  </w:pPr>
                  <w:r>
                    <w:rPr>
                      <w:color w:val="auto"/>
                    </w:rPr>
                    <w:t>主体工程</w:t>
                  </w:r>
                </w:p>
              </w:tc>
              <w:tc>
                <w:tcPr>
                  <w:tcW w:w="712" w:type="pct"/>
                  <w:gridSpan w:val="2"/>
                  <w:tcBorders>
                    <w:tl2br w:val="nil"/>
                    <w:tr2bl w:val="nil"/>
                  </w:tcBorders>
                  <w:vAlign w:val="center"/>
                </w:tcPr>
                <w:p w14:paraId="551DF466">
                  <w:pPr>
                    <w:pStyle w:val="51"/>
                    <w:rPr>
                      <w:color w:val="auto"/>
                    </w:rPr>
                  </w:pPr>
                  <w:r>
                    <w:rPr>
                      <w:color w:val="auto"/>
                    </w:rPr>
                    <w:t>1#厂房</w:t>
                  </w:r>
                </w:p>
              </w:tc>
              <w:tc>
                <w:tcPr>
                  <w:tcW w:w="1880" w:type="pct"/>
                  <w:tcBorders>
                    <w:tl2br w:val="nil"/>
                    <w:tr2bl w:val="nil"/>
                  </w:tcBorders>
                  <w:vAlign w:val="center"/>
                </w:tcPr>
                <w:p w14:paraId="0AE4C203">
                  <w:pPr>
                    <w:pStyle w:val="51"/>
                    <w:rPr>
                      <w:color w:val="auto"/>
                    </w:rPr>
                  </w:pPr>
                  <w:r>
                    <w:rPr>
                      <w:color w:val="auto"/>
                    </w:rPr>
                    <w:t>1F，</w:t>
                  </w:r>
                  <w:r>
                    <w:rPr>
                      <w:rFonts w:hint="eastAsia"/>
                      <w:color w:val="auto"/>
                    </w:rPr>
                    <w:t>8.7</w:t>
                  </w:r>
                  <w:r>
                    <w:rPr>
                      <w:color w:val="auto"/>
                    </w:rPr>
                    <w:t>m，建筑面积为</w:t>
                  </w:r>
                  <w:r>
                    <w:rPr>
                      <w:rFonts w:hint="eastAsia"/>
                      <w:color w:val="auto"/>
                    </w:rPr>
                    <w:t>13320</w:t>
                  </w:r>
                  <w:r>
                    <w:rPr>
                      <w:color w:val="auto"/>
                    </w:rPr>
                    <w:t>m</w:t>
                  </w:r>
                  <w:r>
                    <w:rPr>
                      <w:color w:val="auto"/>
                      <w:vertAlign w:val="superscript"/>
                    </w:rPr>
                    <w:t>2</w:t>
                  </w:r>
                </w:p>
              </w:tc>
              <w:tc>
                <w:tcPr>
                  <w:tcW w:w="2020" w:type="pct"/>
                  <w:tcBorders>
                    <w:tl2br w:val="nil"/>
                    <w:tr2bl w:val="nil"/>
                  </w:tcBorders>
                  <w:vAlign w:val="center"/>
                </w:tcPr>
                <w:p w14:paraId="19B8CA99">
                  <w:pPr>
                    <w:pStyle w:val="51"/>
                    <w:rPr>
                      <w:color w:val="auto"/>
                    </w:rPr>
                  </w:pPr>
                  <w:r>
                    <w:rPr>
                      <w:color w:val="auto"/>
                    </w:rPr>
                    <w:t>位于厂区西侧，</w:t>
                  </w:r>
                  <w:r>
                    <w:rPr>
                      <w:rFonts w:hint="eastAsia"/>
                      <w:color w:val="auto"/>
                    </w:rPr>
                    <w:t>用于放置喷水织机</w:t>
                  </w:r>
                </w:p>
              </w:tc>
            </w:tr>
            <w:tr w14:paraId="1AA0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tcBorders>
                    <w:tl2br w:val="nil"/>
                    <w:tr2bl w:val="nil"/>
                  </w:tcBorders>
                  <w:vAlign w:val="center"/>
                </w:tcPr>
                <w:p w14:paraId="48C63668">
                  <w:pPr>
                    <w:pStyle w:val="51"/>
                    <w:rPr>
                      <w:color w:val="auto"/>
                    </w:rPr>
                  </w:pPr>
                </w:p>
              </w:tc>
              <w:tc>
                <w:tcPr>
                  <w:tcW w:w="712" w:type="pct"/>
                  <w:gridSpan w:val="2"/>
                  <w:tcBorders>
                    <w:tl2br w:val="nil"/>
                    <w:tr2bl w:val="nil"/>
                  </w:tcBorders>
                  <w:vAlign w:val="center"/>
                </w:tcPr>
                <w:p w14:paraId="42083C43">
                  <w:pPr>
                    <w:pStyle w:val="51"/>
                    <w:rPr>
                      <w:color w:val="auto"/>
                    </w:rPr>
                  </w:pPr>
                  <w:r>
                    <w:rPr>
                      <w:color w:val="auto"/>
                    </w:rPr>
                    <w:t>2#厂房</w:t>
                  </w:r>
                </w:p>
              </w:tc>
              <w:tc>
                <w:tcPr>
                  <w:tcW w:w="1880" w:type="pct"/>
                  <w:tcBorders>
                    <w:tl2br w:val="nil"/>
                    <w:tr2bl w:val="nil"/>
                  </w:tcBorders>
                  <w:vAlign w:val="center"/>
                </w:tcPr>
                <w:p w14:paraId="0C4BE1CE">
                  <w:pPr>
                    <w:pStyle w:val="51"/>
                    <w:rPr>
                      <w:color w:val="auto"/>
                    </w:rPr>
                  </w:pPr>
                  <w:r>
                    <w:rPr>
                      <w:rFonts w:hint="eastAsia"/>
                      <w:color w:val="auto"/>
                    </w:rPr>
                    <w:t>1</w:t>
                  </w:r>
                  <w:r>
                    <w:rPr>
                      <w:color w:val="auto"/>
                    </w:rPr>
                    <w:t>F，</w:t>
                  </w:r>
                  <w:r>
                    <w:rPr>
                      <w:rFonts w:hint="eastAsia"/>
                      <w:color w:val="auto"/>
                    </w:rPr>
                    <w:t>8.7</w:t>
                  </w:r>
                  <w:r>
                    <w:rPr>
                      <w:color w:val="auto"/>
                    </w:rPr>
                    <w:t>m，建筑面积为</w:t>
                  </w:r>
                  <w:r>
                    <w:rPr>
                      <w:rFonts w:hint="eastAsia"/>
                      <w:color w:val="auto"/>
                    </w:rPr>
                    <w:t>14948</w:t>
                  </w:r>
                  <w:r>
                    <w:rPr>
                      <w:color w:val="auto"/>
                    </w:rPr>
                    <w:t>m</w:t>
                  </w:r>
                  <w:r>
                    <w:rPr>
                      <w:color w:val="auto"/>
                      <w:vertAlign w:val="superscript"/>
                    </w:rPr>
                    <w:t>2</w:t>
                  </w:r>
                </w:p>
              </w:tc>
              <w:tc>
                <w:tcPr>
                  <w:tcW w:w="2020" w:type="pct"/>
                  <w:tcBorders>
                    <w:tl2br w:val="nil"/>
                    <w:tr2bl w:val="nil"/>
                  </w:tcBorders>
                  <w:vAlign w:val="center"/>
                </w:tcPr>
                <w:p w14:paraId="595C2596">
                  <w:pPr>
                    <w:pStyle w:val="51"/>
                    <w:rPr>
                      <w:color w:val="auto"/>
                    </w:rPr>
                  </w:pPr>
                  <w:r>
                    <w:rPr>
                      <w:color w:val="auto"/>
                    </w:rPr>
                    <w:t>位于厂区东侧，</w:t>
                  </w:r>
                  <w:r>
                    <w:rPr>
                      <w:rFonts w:hint="eastAsia"/>
                      <w:color w:val="auto"/>
                    </w:rPr>
                    <w:t>用于放置加弹机、整经机、磨毛机、验布机</w:t>
                  </w:r>
                </w:p>
              </w:tc>
            </w:tr>
            <w:tr w14:paraId="7F0A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tcBorders>
                    <w:tl2br w:val="nil"/>
                    <w:tr2bl w:val="nil"/>
                  </w:tcBorders>
                  <w:vAlign w:val="center"/>
                </w:tcPr>
                <w:p w14:paraId="2A814710">
                  <w:pPr>
                    <w:pStyle w:val="51"/>
                    <w:rPr>
                      <w:color w:val="auto"/>
                    </w:rPr>
                  </w:pPr>
                  <w:r>
                    <w:rPr>
                      <w:color w:val="auto"/>
                    </w:rPr>
                    <w:t>公用工程</w:t>
                  </w:r>
                </w:p>
              </w:tc>
              <w:tc>
                <w:tcPr>
                  <w:tcW w:w="712" w:type="pct"/>
                  <w:gridSpan w:val="2"/>
                  <w:tcBorders>
                    <w:tl2br w:val="nil"/>
                    <w:tr2bl w:val="nil"/>
                  </w:tcBorders>
                  <w:vAlign w:val="center"/>
                </w:tcPr>
                <w:p w14:paraId="16C579B2">
                  <w:pPr>
                    <w:pStyle w:val="51"/>
                    <w:rPr>
                      <w:color w:val="auto"/>
                    </w:rPr>
                  </w:pPr>
                  <w:r>
                    <w:rPr>
                      <w:color w:val="auto"/>
                    </w:rPr>
                    <w:t>供电</w:t>
                  </w:r>
                </w:p>
              </w:tc>
              <w:tc>
                <w:tcPr>
                  <w:tcW w:w="1880" w:type="pct"/>
                  <w:tcBorders>
                    <w:tl2br w:val="nil"/>
                    <w:tr2bl w:val="nil"/>
                  </w:tcBorders>
                  <w:tcMar>
                    <w:left w:w="0" w:type="dxa"/>
                    <w:right w:w="0" w:type="dxa"/>
                  </w:tcMar>
                  <w:vAlign w:val="center"/>
                </w:tcPr>
                <w:p w14:paraId="7610AD18">
                  <w:pPr>
                    <w:pStyle w:val="51"/>
                    <w:rPr>
                      <w:color w:val="auto"/>
                    </w:rPr>
                  </w:pPr>
                  <w:r>
                    <w:rPr>
                      <w:color w:val="auto"/>
                    </w:rPr>
                    <w:t>用电量为</w:t>
                  </w:r>
                  <w:r>
                    <w:rPr>
                      <w:rFonts w:hint="eastAsia"/>
                      <w:color w:val="auto"/>
                    </w:rPr>
                    <w:t>3660.50</w:t>
                  </w:r>
                  <w:r>
                    <w:rPr>
                      <w:color w:val="auto"/>
                    </w:rPr>
                    <w:t>万kwh/a</w:t>
                  </w:r>
                </w:p>
              </w:tc>
              <w:tc>
                <w:tcPr>
                  <w:tcW w:w="2020" w:type="pct"/>
                  <w:tcBorders>
                    <w:tl2br w:val="nil"/>
                    <w:tr2bl w:val="nil"/>
                  </w:tcBorders>
                  <w:tcMar>
                    <w:left w:w="0" w:type="dxa"/>
                    <w:right w:w="0" w:type="dxa"/>
                  </w:tcMar>
                  <w:vAlign w:val="center"/>
                </w:tcPr>
                <w:p w14:paraId="24D1D1AD">
                  <w:pPr>
                    <w:pStyle w:val="51"/>
                    <w:rPr>
                      <w:color w:val="auto"/>
                    </w:rPr>
                  </w:pPr>
                  <w:r>
                    <w:rPr>
                      <w:color w:val="auto"/>
                    </w:rPr>
                    <w:t>来自市政电网</w:t>
                  </w:r>
                </w:p>
              </w:tc>
            </w:tr>
            <w:tr w14:paraId="1715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tcBorders>
                    <w:tl2br w:val="nil"/>
                    <w:tr2bl w:val="nil"/>
                  </w:tcBorders>
                  <w:vAlign w:val="center"/>
                </w:tcPr>
                <w:p w14:paraId="7CCAC34A">
                  <w:pPr>
                    <w:pStyle w:val="51"/>
                    <w:rPr>
                      <w:color w:val="auto"/>
                    </w:rPr>
                  </w:pPr>
                </w:p>
              </w:tc>
              <w:tc>
                <w:tcPr>
                  <w:tcW w:w="712" w:type="pct"/>
                  <w:gridSpan w:val="2"/>
                  <w:tcBorders>
                    <w:tl2br w:val="nil"/>
                    <w:tr2bl w:val="nil"/>
                  </w:tcBorders>
                  <w:vAlign w:val="center"/>
                </w:tcPr>
                <w:p w14:paraId="69BE7475">
                  <w:pPr>
                    <w:pStyle w:val="51"/>
                    <w:rPr>
                      <w:color w:val="auto"/>
                    </w:rPr>
                  </w:pPr>
                  <w:r>
                    <w:rPr>
                      <w:color w:val="auto"/>
                    </w:rPr>
                    <w:t>供水</w:t>
                  </w:r>
                </w:p>
              </w:tc>
              <w:tc>
                <w:tcPr>
                  <w:tcW w:w="1880" w:type="pct"/>
                  <w:tcBorders>
                    <w:tl2br w:val="nil"/>
                    <w:tr2bl w:val="nil"/>
                  </w:tcBorders>
                  <w:tcMar>
                    <w:left w:w="0" w:type="dxa"/>
                    <w:right w:w="0" w:type="dxa"/>
                  </w:tcMar>
                  <w:vAlign w:val="center"/>
                </w:tcPr>
                <w:p w14:paraId="5D267924">
                  <w:pPr>
                    <w:pStyle w:val="51"/>
                    <w:rPr>
                      <w:color w:val="auto"/>
                    </w:rPr>
                  </w:pPr>
                  <w:r>
                    <w:rPr>
                      <w:color w:val="auto"/>
                    </w:rPr>
                    <w:t>供水量为</w:t>
                  </w:r>
                  <w:r>
                    <w:rPr>
                      <w:rFonts w:hint="eastAsia"/>
                      <w:color w:val="auto"/>
                    </w:rPr>
                    <w:t>112200</w:t>
                  </w:r>
                  <w:r>
                    <w:rPr>
                      <w:color w:val="auto"/>
                    </w:rPr>
                    <w:t>m</w:t>
                  </w:r>
                  <w:r>
                    <w:rPr>
                      <w:color w:val="auto"/>
                      <w:vertAlign w:val="superscript"/>
                    </w:rPr>
                    <w:t>3</w:t>
                  </w:r>
                  <w:r>
                    <w:rPr>
                      <w:color w:val="auto"/>
                    </w:rPr>
                    <w:t>/a</w:t>
                  </w:r>
                </w:p>
              </w:tc>
              <w:tc>
                <w:tcPr>
                  <w:tcW w:w="2020" w:type="pct"/>
                  <w:tcBorders>
                    <w:tl2br w:val="nil"/>
                    <w:tr2bl w:val="nil"/>
                  </w:tcBorders>
                  <w:shd w:val="clear" w:color="auto" w:fill="auto"/>
                  <w:tcMar>
                    <w:left w:w="0" w:type="dxa"/>
                    <w:right w:w="0" w:type="dxa"/>
                  </w:tcMar>
                  <w:vAlign w:val="center"/>
                </w:tcPr>
                <w:p w14:paraId="6E9B2AA6">
                  <w:pPr>
                    <w:pStyle w:val="51"/>
                    <w:rPr>
                      <w:color w:val="auto"/>
                    </w:rPr>
                  </w:pPr>
                  <w:r>
                    <w:rPr>
                      <w:color w:val="auto"/>
                    </w:rPr>
                    <w:t>来自市政管网</w:t>
                  </w:r>
                </w:p>
              </w:tc>
            </w:tr>
            <w:tr w14:paraId="7A3D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tcBorders>
                    <w:tl2br w:val="nil"/>
                    <w:tr2bl w:val="nil"/>
                  </w:tcBorders>
                  <w:vAlign w:val="center"/>
                </w:tcPr>
                <w:p w14:paraId="2167294F">
                  <w:pPr>
                    <w:pStyle w:val="51"/>
                    <w:rPr>
                      <w:color w:val="auto"/>
                    </w:rPr>
                  </w:pPr>
                </w:p>
              </w:tc>
              <w:tc>
                <w:tcPr>
                  <w:tcW w:w="712" w:type="pct"/>
                  <w:gridSpan w:val="2"/>
                  <w:tcBorders>
                    <w:tl2br w:val="nil"/>
                    <w:tr2bl w:val="nil"/>
                  </w:tcBorders>
                  <w:vAlign w:val="center"/>
                </w:tcPr>
                <w:p w14:paraId="6363194C">
                  <w:pPr>
                    <w:pStyle w:val="51"/>
                    <w:rPr>
                      <w:color w:val="auto"/>
                    </w:rPr>
                  </w:pPr>
                  <w:r>
                    <w:rPr>
                      <w:color w:val="auto"/>
                    </w:rPr>
                    <w:t>排水</w:t>
                  </w:r>
                </w:p>
              </w:tc>
              <w:tc>
                <w:tcPr>
                  <w:tcW w:w="1880" w:type="pct"/>
                  <w:tcBorders>
                    <w:tl2br w:val="nil"/>
                    <w:tr2bl w:val="nil"/>
                  </w:tcBorders>
                  <w:tcMar>
                    <w:left w:w="0" w:type="dxa"/>
                    <w:right w:w="0" w:type="dxa"/>
                  </w:tcMar>
                  <w:vAlign w:val="center"/>
                </w:tcPr>
                <w:p w14:paraId="37692C7F">
                  <w:pPr>
                    <w:pStyle w:val="51"/>
                    <w:rPr>
                      <w:color w:val="auto"/>
                    </w:rPr>
                  </w:pPr>
                  <w:r>
                    <w:rPr>
                      <w:color w:val="auto"/>
                    </w:rPr>
                    <w:t>排水量为</w:t>
                  </w:r>
                  <w:r>
                    <w:rPr>
                      <w:rFonts w:hint="eastAsia"/>
                      <w:color w:val="auto"/>
                    </w:rPr>
                    <w:t>2400</w:t>
                  </w:r>
                  <w:r>
                    <w:rPr>
                      <w:color w:val="auto"/>
                    </w:rPr>
                    <w:t>m</w:t>
                  </w:r>
                  <w:r>
                    <w:rPr>
                      <w:color w:val="auto"/>
                      <w:vertAlign w:val="superscript"/>
                    </w:rPr>
                    <w:t>3</w:t>
                  </w:r>
                  <w:r>
                    <w:rPr>
                      <w:color w:val="auto"/>
                    </w:rPr>
                    <w:t>/a</w:t>
                  </w:r>
                </w:p>
              </w:tc>
              <w:tc>
                <w:tcPr>
                  <w:tcW w:w="2020" w:type="pct"/>
                  <w:tcBorders>
                    <w:tl2br w:val="nil"/>
                    <w:tr2bl w:val="nil"/>
                  </w:tcBorders>
                  <w:tcMar>
                    <w:left w:w="0" w:type="dxa"/>
                    <w:right w:w="0" w:type="dxa"/>
                  </w:tcMar>
                  <w:vAlign w:val="center"/>
                </w:tcPr>
                <w:p w14:paraId="27A89CA8">
                  <w:pPr>
                    <w:pStyle w:val="51"/>
                    <w:rPr>
                      <w:color w:val="auto"/>
                    </w:rPr>
                  </w:pPr>
                  <w:r>
                    <w:rPr>
                      <w:color w:val="auto"/>
                    </w:rPr>
                    <w:t>厂区实行</w:t>
                  </w:r>
                  <w:r>
                    <w:rPr>
                      <w:rFonts w:hint="eastAsia"/>
                      <w:color w:val="auto"/>
                    </w:rPr>
                    <w:t>“雨污分流、中水回用”</w:t>
                  </w:r>
                </w:p>
              </w:tc>
            </w:tr>
            <w:tr w14:paraId="2D6C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tcBorders>
                    <w:tl2br w:val="nil"/>
                    <w:tr2bl w:val="nil"/>
                  </w:tcBorders>
                  <w:vAlign w:val="center"/>
                </w:tcPr>
                <w:p w14:paraId="68AE354E">
                  <w:pPr>
                    <w:pStyle w:val="51"/>
                    <w:rPr>
                      <w:color w:val="auto"/>
                    </w:rPr>
                  </w:pPr>
                  <w:r>
                    <w:rPr>
                      <w:rFonts w:hint="eastAsia"/>
                      <w:color w:val="auto"/>
                    </w:rPr>
                    <w:t>贮运工程</w:t>
                  </w:r>
                </w:p>
              </w:tc>
              <w:tc>
                <w:tcPr>
                  <w:tcW w:w="712" w:type="pct"/>
                  <w:gridSpan w:val="2"/>
                  <w:tcBorders>
                    <w:tl2br w:val="nil"/>
                    <w:tr2bl w:val="nil"/>
                  </w:tcBorders>
                  <w:vAlign w:val="center"/>
                </w:tcPr>
                <w:p w14:paraId="065A8FAD">
                  <w:pPr>
                    <w:pStyle w:val="51"/>
                    <w:rPr>
                      <w:color w:val="auto"/>
                    </w:rPr>
                  </w:pPr>
                  <w:r>
                    <w:rPr>
                      <w:rFonts w:hint="eastAsia"/>
                      <w:color w:val="auto"/>
                    </w:rPr>
                    <w:t>原料仓库</w:t>
                  </w:r>
                </w:p>
              </w:tc>
              <w:tc>
                <w:tcPr>
                  <w:tcW w:w="1880" w:type="pct"/>
                  <w:tcBorders>
                    <w:tl2br w:val="nil"/>
                    <w:tr2bl w:val="nil"/>
                  </w:tcBorders>
                  <w:tcMar>
                    <w:left w:w="0" w:type="dxa"/>
                    <w:right w:w="0" w:type="dxa"/>
                  </w:tcMar>
                  <w:vAlign w:val="center"/>
                </w:tcPr>
                <w:p w14:paraId="6107DCAB">
                  <w:pPr>
                    <w:pStyle w:val="51"/>
                    <w:rPr>
                      <w:color w:val="auto"/>
                    </w:rPr>
                  </w:pPr>
                  <w:r>
                    <w:rPr>
                      <w:rFonts w:hint="eastAsia"/>
                      <w:color w:val="auto"/>
                    </w:rPr>
                    <w:t>占地面积为1500</w:t>
                  </w:r>
                  <w:r>
                    <w:rPr>
                      <w:color w:val="auto"/>
                    </w:rPr>
                    <w:t>m</w:t>
                  </w:r>
                  <w:r>
                    <w:rPr>
                      <w:color w:val="auto"/>
                      <w:vertAlign w:val="superscript"/>
                    </w:rPr>
                    <w:t>2</w:t>
                  </w:r>
                </w:p>
              </w:tc>
              <w:tc>
                <w:tcPr>
                  <w:tcW w:w="2020" w:type="pct"/>
                  <w:tcBorders>
                    <w:tl2br w:val="nil"/>
                    <w:tr2bl w:val="nil"/>
                  </w:tcBorders>
                  <w:tcMar>
                    <w:left w:w="0" w:type="dxa"/>
                    <w:right w:w="0" w:type="dxa"/>
                  </w:tcMar>
                  <w:vAlign w:val="center"/>
                </w:tcPr>
                <w:p w14:paraId="0153273B">
                  <w:pPr>
                    <w:pStyle w:val="51"/>
                    <w:rPr>
                      <w:color w:val="auto"/>
                    </w:rPr>
                  </w:pPr>
                  <w:r>
                    <w:rPr>
                      <w:rFonts w:hint="eastAsia"/>
                      <w:color w:val="auto"/>
                    </w:rPr>
                    <w:t>位于1#厂房北侧</w:t>
                  </w:r>
                </w:p>
              </w:tc>
            </w:tr>
            <w:tr w14:paraId="343B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tcBorders>
                    <w:tl2br w:val="nil"/>
                    <w:tr2bl w:val="nil"/>
                  </w:tcBorders>
                  <w:vAlign w:val="center"/>
                </w:tcPr>
                <w:p w14:paraId="173538F0">
                  <w:pPr>
                    <w:rPr>
                      <w:color w:val="auto"/>
                    </w:rPr>
                  </w:pPr>
                </w:p>
              </w:tc>
              <w:tc>
                <w:tcPr>
                  <w:tcW w:w="712" w:type="pct"/>
                  <w:gridSpan w:val="2"/>
                  <w:tcBorders>
                    <w:tl2br w:val="nil"/>
                    <w:tr2bl w:val="nil"/>
                  </w:tcBorders>
                  <w:vAlign w:val="center"/>
                </w:tcPr>
                <w:p w14:paraId="7D69F101">
                  <w:pPr>
                    <w:pStyle w:val="51"/>
                    <w:rPr>
                      <w:color w:val="auto"/>
                    </w:rPr>
                  </w:pPr>
                  <w:r>
                    <w:rPr>
                      <w:rFonts w:hint="eastAsia"/>
                      <w:color w:val="auto"/>
                    </w:rPr>
                    <w:t>成品仓库</w:t>
                  </w:r>
                </w:p>
              </w:tc>
              <w:tc>
                <w:tcPr>
                  <w:tcW w:w="1880" w:type="pct"/>
                  <w:tcBorders>
                    <w:tl2br w:val="nil"/>
                    <w:tr2bl w:val="nil"/>
                  </w:tcBorders>
                  <w:tcMar>
                    <w:left w:w="0" w:type="dxa"/>
                    <w:right w:w="0" w:type="dxa"/>
                  </w:tcMar>
                  <w:vAlign w:val="center"/>
                </w:tcPr>
                <w:p w14:paraId="7F1AFEC1">
                  <w:pPr>
                    <w:pStyle w:val="51"/>
                    <w:rPr>
                      <w:color w:val="auto"/>
                    </w:rPr>
                  </w:pPr>
                  <w:r>
                    <w:rPr>
                      <w:rFonts w:hint="eastAsia"/>
                      <w:color w:val="auto"/>
                    </w:rPr>
                    <w:t>占地面积为1500</w:t>
                  </w:r>
                  <w:r>
                    <w:rPr>
                      <w:color w:val="auto"/>
                    </w:rPr>
                    <w:t>m</w:t>
                  </w:r>
                  <w:r>
                    <w:rPr>
                      <w:color w:val="auto"/>
                      <w:vertAlign w:val="superscript"/>
                    </w:rPr>
                    <w:t>2</w:t>
                  </w:r>
                </w:p>
              </w:tc>
              <w:tc>
                <w:tcPr>
                  <w:tcW w:w="2020" w:type="pct"/>
                  <w:tcBorders>
                    <w:tl2br w:val="nil"/>
                    <w:tr2bl w:val="nil"/>
                  </w:tcBorders>
                  <w:tcMar>
                    <w:left w:w="0" w:type="dxa"/>
                    <w:right w:w="0" w:type="dxa"/>
                  </w:tcMar>
                  <w:vAlign w:val="center"/>
                </w:tcPr>
                <w:p w14:paraId="5436BC66">
                  <w:pPr>
                    <w:pStyle w:val="51"/>
                    <w:rPr>
                      <w:color w:val="auto"/>
                    </w:rPr>
                  </w:pPr>
                  <w:r>
                    <w:rPr>
                      <w:rFonts w:hint="eastAsia"/>
                      <w:color w:val="auto"/>
                    </w:rPr>
                    <w:t>位于2#厂房北侧</w:t>
                  </w:r>
                </w:p>
              </w:tc>
            </w:tr>
            <w:tr w14:paraId="28B2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tcBorders>
                    <w:tl2br w:val="nil"/>
                    <w:tr2bl w:val="nil"/>
                  </w:tcBorders>
                  <w:vAlign w:val="center"/>
                </w:tcPr>
                <w:p w14:paraId="00F3F781">
                  <w:pPr>
                    <w:rPr>
                      <w:color w:val="auto"/>
                    </w:rPr>
                  </w:pPr>
                </w:p>
              </w:tc>
              <w:tc>
                <w:tcPr>
                  <w:tcW w:w="712" w:type="pct"/>
                  <w:gridSpan w:val="2"/>
                  <w:tcBorders>
                    <w:tl2br w:val="nil"/>
                    <w:tr2bl w:val="nil"/>
                  </w:tcBorders>
                  <w:vAlign w:val="center"/>
                </w:tcPr>
                <w:p w14:paraId="4C6CACE4">
                  <w:pPr>
                    <w:pStyle w:val="51"/>
                    <w:rPr>
                      <w:color w:val="auto"/>
                    </w:rPr>
                  </w:pPr>
                  <w:r>
                    <w:rPr>
                      <w:rFonts w:hint="eastAsia"/>
                      <w:color w:val="auto"/>
                    </w:rPr>
                    <w:t>运输</w:t>
                  </w:r>
                </w:p>
              </w:tc>
              <w:tc>
                <w:tcPr>
                  <w:tcW w:w="3900" w:type="pct"/>
                  <w:gridSpan w:val="2"/>
                  <w:tcBorders>
                    <w:tl2br w:val="nil"/>
                    <w:tr2bl w:val="nil"/>
                  </w:tcBorders>
                  <w:tcMar>
                    <w:left w:w="0" w:type="dxa"/>
                    <w:right w:w="0" w:type="dxa"/>
                  </w:tcMar>
                  <w:vAlign w:val="center"/>
                </w:tcPr>
                <w:p w14:paraId="4373CABF">
                  <w:pPr>
                    <w:pStyle w:val="51"/>
                    <w:rPr>
                      <w:color w:val="auto"/>
                    </w:rPr>
                  </w:pPr>
                  <w:r>
                    <w:rPr>
                      <w:rFonts w:hint="eastAsia"/>
                      <w:color w:val="auto"/>
                    </w:rPr>
                    <w:t>厂区内短距离运输以叉车为主，厂外运输均采用汽车</w:t>
                  </w:r>
                </w:p>
              </w:tc>
            </w:tr>
            <w:tr w14:paraId="497E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tcBorders>
                    <w:tl2br w:val="nil"/>
                    <w:tr2bl w:val="nil"/>
                  </w:tcBorders>
                  <w:vAlign w:val="center"/>
                </w:tcPr>
                <w:p w14:paraId="51227C28">
                  <w:pPr>
                    <w:pStyle w:val="51"/>
                    <w:rPr>
                      <w:color w:val="auto"/>
                    </w:rPr>
                  </w:pPr>
                  <w:r>
                    <w:rPr>
                      <w:color w:val="auto"/>
                    </w:rPr>
                    <w:t>辅助工程</w:t>
                  </w:r>
                </w:p>
              </w:tc>
              <w:tc>
                <w:tcPr>
                  <w:tcW w:w="712" w:type="pct"/>
                  <w:gridSpan w:val="2"/>
                  <w:tcBorders>
                    <w:tl2br w:val="nil"/>
                    <w:tr2bl w:val="nil"/>
                  </w:tcBorders>
                  <w:vAlign w:val="center"/>
                </w:tcPr>
                <w:p w14:paraId="09A933BC">
                  <w:pPr>
                    <w:pStyle w:val="51"/>
                    <w:rPr>
                      <w:color w:val="auto"/>
                    </w:rPr>
                  </w:pPr>
                  <w:r>
                    <w:rPr>
                      <w:color w:val="auto"/>
                    </w:rPr>
                    <w:t>综合楼</w:t>
                  </w:r>
                </w:p>
              </w:tc>
              <w:tc>
                <w:tcPr>
                  <w:tcW w:w="1880" w:type="pct"/>
                  <w:tcBorders>
                    <w:tl2br w:val="nil"/>
                    <w:tr2bl w:val="nil"/>
                  </w:tcBorders>
                  <w:tcMar>
                    <w:left w:w="0" w:type="dxa"/>
                    <w:right w:w="0" w:type="dxa"/>
                  </w:tcMar>
                  <w:vAlign w:val="center"/>
                </w:tcPr>
                <w:p w14:paraId="2B07CE41">
                  <w:pPr>
                    <w:pStyle w:val="51"/>
                    <w:rPr>
                      <w:color w:val="auto"/>
                    </w:rPr>
                  </w:pPr>
                  <w:r>
                    <w:rPr>
                      <w:color w:val="auto"/>
                    </w:rPr>
                    <w:t>2F、</w:t>
                  </w:r>
                  <w:r>
                    <w:rPr>
                      <w:rFonts w:hint="eastAsia"/>
                      <w:color w:val="auto"/>
                    </w:rPr>
                    <w:t>8</w:t>
                  </w:r>
                  <w:r>
                    <w:rPr>
                      <w:color w:val="auto"/>
                    </w:rPr>
                    <w:t>m高，占地面积为</w:t>
                  </w:r>
                  <w:r>
                    <w:rPr>
                      <w:rFonts w:hint="eastAsia"/>
                      <w:color w:val="auto"/>
                    </w:rPr>
                    <w:t>1184</w:t>
                  </w:r>
                  <w:r>
                    <w:rPr>
                      <w:color w:val="auto"/>
                    </w:rPr>
                    <w:t>m</w:t>
                  </w:r>
                  <w:r>
                    <w:rPr>
                      <w:color w:val="auto"/>
                      <w:vertAlign w:val="superscript"/>
                    </w:rPr>
                    <w:t>2</w:t>
                  </w:r>
                  <w:r>
                    <w:rPr>
                      <w:color w:val="auto"/>
                    </w:rPr>
                    <w:t>、建筑面积为</w:t>
                  </w:r>
                  <w:r>
                    <w:rPr>
                      <w:rFonts w:hint="eastAsia"/>
                      <w:color w:val="auto"/>
                    </w:rPr>
                    <w:t>3552</w:t>
                  </w:r>
                  <w:r>
                    <w:rPr>
                      <w:color w:val="auto"/>
                    </w:rPr>
                    <w:t>m</w:t>
                  </w:r>
                  <w:r>
                    <w:rPr>
                      <w:color w:val="auto"/>
                      <w:vertAlign w:val="superscript"/>
                    </w:rPr>
                    <w:t>2</w:t>
                  </w:r>
                </w:p>
              </w:tc>
              <w:tc>
                <w:tcPr>
                  <w:tcW w:w="2020" w:type="pct"/>
                  <w:tcBorders>
                    <w:tl2br w:val="nil"/>
                    <w:tr2bl w:val="nil"/>
                  </w:tcBorders>
                  <w:tcMar>
                    <w:left w:w="0" w:type="dxa"/>
                    <w:right w:w="0" w:type="dxa"/>
                  </w:tcMar>
                  <w:vAlign w:val="center"/>
                </w:tcPr>
                <w:p w14:paraId="0453230F">
                  <w:pPr>
                    <w:pStyle w:val="51"/>
                    <w:rPr>
                      <w:color w:val="auto"/>
                    </w:rPr>
                  </w:pPr>
                  <w:r>
                    <w:rPr>
                      <w:color w:val="auto"/>
                    </w:rPr>
                    <w:t>位于厂区东北侧</w:t>
                  </w:r>
                  <w:r>
                    <w:rPr>
                      <w:rFonts w:hint="eastAsia"/>
                      <w:color w:val="auto"/>
                    </w:rPr>
                    <w:t>，用作办公</w:t>
                  </w:r>
                </w:p>
              </w:tc>
            </w:tr>
            <w:tr w14:paraId="2B5A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tcBorders>
                    <w:tl2br w:val="nil"/>
                    <w:tr2bl w:val="nil"/>
                  </w:tcBorders>
                  <w:vAlign w:val="center"/>
                </w:tcPr>
                <w:p w14:paraId="0290E65D">
                  <w:pPr>
                    <w:rPr>
                      <w:color w:val="auto"/>
                    </w:rPr>
                  </w:pPr>
                </w:p>
              </w:tc>
              <w:tc>
                <w:tcPr>
                  <w:tcW w:w="712" w:type="pct"/>
                  <w:gridSpan w:val="2"/>
                  <w:tcBorders>
                    <w:tl2br w:val="nil"/>
                    <w:tr2bl w:val="nil"/>
                  </w:tcBorders>
                  <w:vAlign w:val="center"/>
                </w:tcPr>
                <w:p w14:paraId="44A204B9">
                  <w:pPr>
                    <w:pStyle w:val="51"/>
                    <w:rPr>
                      <w:color w:val="auto"/>
                    </w:rPr>
                  </w:pPr>
                  <w:r>
                    <w:rPr>
                      <w:rFonts w:hint="eastAsia"/>
                      <w:color w:val="auto"/>
                    </w:rPr>
                    <w:t>辅助设施</w:t>
                  </w:r>
                </w:p>
              </w:tc>
              <w:tc>
                <w:tcPr>
                  <w:tcW w:w="1880" w:type="pct"/>
                  <w:tcBorders>
                    <w:tl2br w:val="nil"/>
                    <w:tr2bl w:val="nil"/>
                  </w:tcBorders>
                  <w:tcMar>
                    <w:left w:w="0" w:type="dxa"/>
                    <w:right w:w="0" w:type="dxa"/>
                  </w:tcMar>
                  <w:vAlign w:val="center"/>
                </w:tcPr>
                <w:p w14:paraId="51BBFD81">
                  <w:pPr>
                    <w:pStyle w:val="51"/>
                    <w:rPr>
                      <w:color w:val="auto"/>
                    </w:rPr>
                  </w:pPr>
                  <w:r>
                    <w:rPr>
                      <w:rFonts w:hint="eastAsia"/>
                      <w:color w:val="auto"/>
                    </w:rPr>
                    <w:t>占地面积为2151</w:t>
                  </w:r>
                  <w:r>
                    <w:rPr>
                      <w:color w:val="auto"/>
                    </w:rPr>
                    <w:t>m</w:t>
                  </w:r>
                  <w:r>
                    <w:rPr>
                      <w:color w:val="auto"/>
                      <w:vertAlign w:val="superscript"/>
                    </w:rPr>
                    <w:t>2</w:t>
                  </w:r>
                </w:p>
              </w:tc>
              <w:tc>
                <w:tcPr>
                  <w:tcW w:w="2020" w:type="pct"/>
                  <w:tcBorders>
                    <w:tl2br w:val="nil"/>
                    <w:tr2bl w:val="nil"/>
                  </w:tcBorders>
                  <w:tcMar>
                    <w:left w:w="0" w:type="dxa"/>
                    <w:right w:w="0" w:type="dxa"/>
                  </w:tcMar>
                  <w:vAlign w:val="center"/>
                </w:tcPr>
                <w:p w14:paraId="7B4F94B0">
                  <w:pPr>
                    <w:pStyle w:val="51"/>
                    <w:rPr>
                      <w:color w:val="auto"/>
                    </w:rPr>
                  </w:pPr>
                  <w:r>
                    <w:rPr>
                      <w:color w:val="auto"/>
                    </w:rPr>
                    <w:t>位于1#厂房</w:t>
                  </w:r>
                  <w:r>
                    <w:rPr>
                      <w:rFonts w:hint="eastAsia"/>
                      <w:color w:val="auto"/>
                    </w:rPr>
                    <w:t>南</w:t>
                  </w:r>
                  <w:r>
                    <w:rPr>
                      <w:color w:val="auto"/>
                    </w:rPr>
                    <w:t>侧</w:t>
                  </w:r>
                  <w:r>
                    <w:rPr>
                      <w:rFonts w:hint="eastAsia"/>
                      <w:color w:val="auto"/>
                    </w:rPr>
                    <w:t>，污水池、消防水池</w:t>
                  </w:r>
                </w:p>
              </w:tc>
            </w:tr>
            <w:tr w14:paraId="1F1D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87" w:type="pct"/>
                  <w:vMerge w:val="restart"/>
                  <w:tcBorders>
                    <w:tl2br w:val="nil"/>
                    <w:tr2bl w:val="nil"/>
                  </w:tcBorders>
                  <w:vAlign w:val="center"/>
                </w:tcPr>
                <w:p w14:paraId="523B3A8C">
                  <w:pPr>
                    <w:pStyle w:val="51"/>
                    <w:rPr>
                      <w:color w:val="auto"/>
                    </w:rPr>
                  </w:pPr>
                  <w:r>
                    <w:rPr>
                      <w:color w:val="auto"/>
                    </w:rPr>
                    <w:t>环保工程</w:t>
                  </w:r>
                </w:p>
              </w:tc>
              <w:tc>
                <w:tcPr>
                  <w:tcW w:w="712" w:type="pct"/>
                  <w:gridSpan w:val="2"/>
                  <w:vMerge w:val="restart"/>
                  <w:tcBorders>
                    <w:tl2br w:val="nil"/>
                    <w:tr2bl w:val="nil"/>
                  </w:tcBorders>
                  <w:vAlign w:val="center"/>
                </w:tcPr>
                <w:p w14:paraId="4585E07B">
                  <w:pPr>
                    <w:pStyle w:val="51"/>
                    <w:rPr>
                      <w:color w:val="auto"/>
                    </w:rPr>
                  </w:pPr>
                  <w:r>
                    <w:rPr>
                      <w:rFonts w:hint="eastAsia"/>
                      <w:color w:val="auto"/>
                    </w:rPr>
                    <w:t>废气处理</w:t>
                  </w:r>
                </w:p>
              </w:tc>
              <w:tc>
                <w:tcPr>
                  <w:tcW w:w="1880" w:type="pct"/>
                  <w:vMerge w:val="restart"/>
                  <w:tcBorders>
                    <w:tl2br w:val="nil"/>
                    <w:tr2bl w:val="nil"/>
                  </w:tcBorders>
                  <w:vAlign w:val="center"/>
                </w:tcPr>
                <w:p w14:paraId="3243A5A5">
                  <w:pPr>
                    <w:pStyle w:val="51"/>
                    <w:rPr>
                      <w:color w:val="auto"/>
                    </w:rPr>
                  </w:pPr>
                  <w:r>
                    <w:rPr>
                      <w:rFonts w:hint="eastAsia"/>
                      <w:color w:val="auto"/>
                    </w:rPr>
                    <w:t>管道+</w:t>
                  </w:r>
                  <w:r>
                    <w:rPr>
                      <w:rFonts w:hint="eastAsia"/>
                      <w:color w:val="auto"/>
                      <w:lang w:val="en-US" w:eastAsia="zh-CN"/>
                    </w:rPr>
                    <w:t>高压</w:t>
                  </w:r>
                  <w:r>
                    <w:rPr>
                      <w:rFonts w:hint="eastAsia"/>
                      <w:color w:val="auto"/>
                    </w:rPr>
                    <w:t>静电</w:t>
                  </w:r>
                  <w:r>
                    <w:rPr>
                      <w:rFonts w:hint="eastAsia"/>
                      <w:color w:val="auto"/>
                      <w:lang w:val="en-US" w:eastAsia="zh-CN"/>
                    </w:rPr>
                    <w:t>油烟</w:t>
                  </w:r>
                  <w:r>
                    <w:rPr>
                      <w:rFonts w:hint="eastAsia"/>
                      <w:color w:val="auto"/>
                    </w:rPr>
                    <w:t>净化器+</w:t>
                  </w:r>
                  <w:r>
                    <w:rPr>
                      <w:color w:val="auto"/>
                    </w:rPr>
                    <w:t>15m</w:t>
                  </w:r>
                  <w:r>
                    <w:rPr>
                      <w:rFonts w:hint="eastAsia"/>
                      <w:color w:val="auto"/>
                    </w:rPr>
                    <w:t>高</w:t>
                  </w:r>
                  <w:r>
                    <w:rPr>
                      <w:color w:val="auto"/>
                    </w:rPr>
                    <w:t>排气筒</w:t>
                  </w:r>
                </w:p>
              </w:tc>
              <w:tc>
                <w:tcPr>
                  <w:tcW w:w="2020" w:type="pct"/>
                  <w:tcBorders>
                    <w:tl2br w:val="nil"/>
                    <w:tr2bl w:val="nil"/>
                  </w:tcBorders>
                  <w:vAlign w:val="center"/>
                </w:tcPr>
                <w:p w14:paraId="738B17D7">
                  <w:pPr>
                    <w:pStyle w:val="51"/>
                    <w:rPr>
                      <w:color w:val="auto"/>
                    </w:rPr>
                  </w:pPr>
                  <w:r>
                    <w:rPr>
                      <w:rFonts w:hint="eastAsia"/>
                      <w:color w:val="auto"/>
                    </w:rPr>
                    <w:t>1~5#、6~10#、11~15#、16</w:t>
                  </w:r>
                  <w:r>
                    <w:rPr>
                      <w:rFonts w:hint="eastAsia"/>
                      <w:color w:val="auto"/>
                      <w:lang w:val="en-US" w:eastAsia="zh-CN"/>
                    </w:rPr>
                    <w:t>~</w:t>
                  </w:r>
                  <w:r>
                    <w:rPr>
                      <w:rFonts w:hint="eastAsia"/>
                      <w:color w:val="auto"/>
                    </w:rPr>
                    <w:t>20#加弹机产生的有机废气NMHC经自带管道收集后分别由1#~4#高压静电油烟净化器处理后通过4根15m排气筒（DA001~DA004）达标排放</w:t>
                  </w:r>
                </w:p>
              </w:tc>
            </w:tr>
            <w:tr w14:paraId="66B6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tcBorders>
                    <w:tl2br w:val="nil"/>
                    <w:tr2bl w:val="nil"/>
                  </w:tcBorders>
                  <w:vAlign w:val="center"/>
                </w:tcPr>
                <w:p w14:paraId="15713799">
                  <w:pPr>
                    <w:pStyle w:val="51"/>
                    <w:rPr>
                      <w:color w:val="auto"/>
                    </w:rPr>
                  </w:pPr>
                </w:p>
              </w:tc>
              <w:tc>
                <w:tcPr>
                  <w:tcW w:w="712" w:type="pct"/>
                  <w:gridSpan w:val="2"/>
                  <w:vMerge w:val="continue"/>
                  <w:tcBorders>
                    <w:tl2br w:val="nil"/>
                    <w:tr2bl w:val="nil"/>
                  </w:tcBorders>
                  <w:vAlign w:val="center"/>
                </w:tcPr>
                <w:p w14:paraId="271B94FD">
                  <w:pPr>
                    <w:pStyle w:val="51"/>
                    <w:rPr>
                      <w:color w:val="auto"/>
                    </w:rPr>
                  </w:pPr>
                </w:p>
              </w:tc>
              <w:tc>
                <w:tcPr>
                  <w:tcW w:w="1880" w:type="pct"/>
                  <w:vMerge w:val="continue"/>
                  <w:tcBorders>
                    <w:tl2br w:val="nil"/>
                    <w:tr2bl w:val="nil"/>
                  </w:tcBorders>
                  <w:vAlign w:val="center"/>
                </w:tcPr>
                <w:p w14:paraId="04781EC0">
                  <w:pPr>
                    <w:pStyle w:val="51"/>
                    <w:rPr>
                      <w:color w:val="auto"/>
                    </w:rPr>
                  </w:pPr>
                </w:p>
              </w:tc>
              <w:tc>
                <w:tcPr>
                  <w:tcW w:w="2020" w:type="pct"/>
                  <w:tcBorders>
                    <w:tl2br w:val="nil"/>
                    <w:tr2bl w:val="nil"/>
                  </w:tcBorders>
                  <w:vAlign w:val="center"/>
                </w:tcPr>
                <w:p w14:paraId="33B3FB64">
                  <w:pPr>
                    <w:pStyle w:val="51"/>
                    <w:rPr>
                      <w:color w:val="auto"/>
                    </w:rPr>
                  </w:pPr>
                  <w:r>
                    <w:rPr>
                      <w:rFonts w:hint="eastAsia"/>
                      <w:color w:val="auto"/>
                    </w:rPr>
                    <w:t>危废仓库废气NMHC经负压风管收集后由1#高压静电油烟净化器处理后通过1根15m排气筒（DA001）达标排放</w:t>
                  </w:r>
                </w:p>
              </w:tc>
            </w:tr>
            <w:tr w14:paraId="59EF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tcBorders>
                    <w:tl2br w:val="nil"/>
                    <w:tr2bl w:val="nil"/>
                  </w:tcBorders>
                  <w:vAlign w:val="center"/>
                </w:tcPr>
                <w:p w14:paraId="136C24F8">
                  <w:pPr>
                    <w:pStyle w:val="51"/>
                    <w:rPr>
                      <w:color w:val="auto"/>
                    </w:rPr>
                  </w:pPr>
                </w:p>
              </w:tc>
              <w:tc>
                <w:tcPr>
                  <w:tcW w:w="241" w:type="pct"/>
                  <w:vMerge w:val="restart"/>
                  <w:tcBorders>
                    <w:tl2br w:val="nil"/>
                    <w:tr2bl w:val="nil"/>
                  </w:tcBorders>
                  <w:vAlign w:val="center"/>
                </w:tcPr>
                <w:p w14:paraId="75825E65">
                  <w:pPr>
                    <w:pStyle w:val="51"/>
                    <w:rPr>
                      <w:color w:val="auto"/>
                    </w:rPr>
                  </w:pPr>
                  <w:r>
                    <w:rPr>
                      <w:rFonts w:hint="eastAsia"/>
                      <w:color w:val="auto"/>
                    </w:rPr>
                    <w:t>废水处理</w:t>
                  </w:r>
                </w:p>
              </w:tc>
              <w:tc>
                <w:tcPr>
                  <w:tcW w:w="470" w:type="pct"/>
                  <w:tcBorders>
                    <w:tl2br w:val="nil"/>
                    <w:tr2bl w:val="nil"/>
                  </w:tcBorders>
                  <w:vAlign w:val="center"/>
                </w:tcPr>
                <w:p w14:paraId="04828E7B">
                  <w:pPr>
                    <w:pStyle w:val="51"/>
                    <w:rPr>
                      <w:color w:val="auto"/>
                    </w:rPr>
                  </w:pPr>
                  <w:r>
                    <w:rPr>
                      <w:rFonts w:hint="eastAsia"/>
                      <w:color w:val="auto"/>
                    </w:rPr>
                    <w:t>职工生活污水</w:t>
                  </w:r>
                </w:p>
              </w:tc>
              <w:tc>
                <w:tcPr>
                  <w:tcW w:w="1880" w:type="pct"/>
                  <w:tcBorders>
                    <w:tl2br w:val="nil"/>
                    <w:tr2bl w:val="nil"/>
                  </w:tcBorders>
                  <w:vAlign w:val="center"/>
                </w:tcPr>
                <w:p w14:paraId="208D5EB3">
                  <w:pPr>
                    <w:pStyle w:val="51"/>
                    <w:rPr>
                      <w:color w:val="auto"/>
                    </w:rPr>
                  </w:pPr>
                  <w:r>
                    <w:rPr>
                      <w:rFonts w:hint="eastAsia"/>
                      <w:color w:val="auto"/>
                    </w:rPr>
                    <w:t>化粪池设计体积为15m</w:t>
                  </w:r>
                  <w:r>
                    <w:rPr>
                      <w:rFonts w:hint="eastAsia"/>
                      <w:color w:val="auto"/>
                      <w:vertAlign w:val="superscript"/>
                    </w:rPr>
                    <w:t>3</w:t>
                  </w:r>
                </w:p>
              </w:tc>
              <w:tc>
                <w:tcPr>
                  <w:tcW w:w="2020" w:type="pct"/>
                  <w:tcBorders>
                    <w:tl2br w:val="nil"/>
                    <w:tr2bl w:val="nil"/>
                  </w:tcBorders>
                  <w:vAlign w:val="center"/>
                </w:tcPr>
                <w:p w14:paraId="03657C85">
                  <w:pPr>
                    <w:pStyle w:val="51"/>
                    <w:rPr>
                      <w:color w:val="auto"/>
                    </w:rPr>
                  </w:pPr>
                  <w:r>
                    <w:rPr>
                      <w:rFonts w:hint="eastAsia"/>
                      <w:color w:val="auto"/>
                    </w:rPr>
                    <w:t>经厂区内化粪池预处理达标后接管至新袁镇污水处理厂集中处理</w:t>
                  </w:r>
                </w:p>
              </w:tc>
            </w:tr>
            <w:tr w14:paraId="4203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tcBorders>
                    <w:tl2br w:val="nil"/>
                    <w:tr2bl w:val="nil"/>
                  </w:tcBorders>
                  <w:vAlign w:val="center"/>
                </w:tcPr>
                <w:p w14:paraId="3AE3DBF2">
                  <w:pPr>
                    <w:pStyle w:val="51"/>
                    <w:rPr>
                      <w:color w:val="auto"/>
                    </w:rPr>
                  </w:pPr>
                </w:p>
              </w:tc>
              <w:tc>
                <w:tcPr>
                  <w:tcW w:w="241" w:type="pct"/>
                  <w:vMerge w:val="continue"/>
                  <w:tcBorders>
                    <w:tl2br w:val="nil"/>
                    <w:tr2bl w:val="nil"/>
                  </w:tcBorders>
                  <w:vAlign w:val="center"/>
                </w:tcPr>
                <w:p w14:paraId="59A479E0">
                  <w:pPr>
                    <w:pStyle w:val="51"/>
                    <w:rPr>
                      <w:color w:val="auto"/>
                    </w:rPr>
                  </w:pPr>
                </w:p>
              </w:tc>
              <w:tc>
                <w:tcPr>
                  <w:tcW w:w="470" w:type="pct"/>
                  <w:tcBorders>
                    <w:tl2br w:val="nil"/>
                    <w:tr2bl w:val="nil"/>
                  </w:tcBorders>
                  <w:vAlign w:val="center"/>
                </w:tcPr>
                <w:p w14:paraId="3C33E22D">
                  <w:pPr>
                    <w:pStyle w:val="51"/>
                    <w:rPr>
                      <w:color w:val="auto"/>
                    </w:rPr>
                  </w:pPr>
                  <w:r>
                    <w:rPr>
                      <w:rFonts w:hint="eastAsia"/>
                      <w:color w:val="auto"/>
                    </w:rPr>
                    <w:t>喷水织造废水</w:t>
                  </w:r>
                </w:p>
              </w:tc>
              <w:tc>
                <w:tcPr>
                  <w:tcW w:w="1880" w:type="pct"/>
                  <w:tcBorders>
                    <w:tl2br w:val="nil"/>
                    <w:tr2bl w:val="nil"/>
                  </w:tcBorders>
                  <w:vAlign w:val="center"/>
                </w:tcPr>
                <w:p w14:paraId="3E3A920B">
                  <w:pPr>
                    <w:pStyle w:val="51"/>
                    <w:rPr>
                      <w:color w:val="auto"/>
                    </w:rPr>
                  </w:pPr>
                  <w:r>
                    <w:rPr>
                      <w:rFonts w:hint="eastAsia"/>
                      <w:color w:val="auto"/>
                    </w:rPr>
                    <w:t>污水处理站设计处理能量为150m</w:t>
                  </w:r>
                  <w:r>
                    <w:rPr>
                      <w:rFonts w:hint="eastAsia"/>
                      <w:color w:val="auto"/>
                      <w:vertAlign w:val="superscript"/>
                    </w:rPr>
                    <w:t>3</w:t>
                  </w:r>
                  <w:r>
                    <w:rPr>
                      <w:rFonts w:hint="eastAsia"/>
                      <w:color w:val="auto"/>
                    </w:rPr>
                    <w:t>/h，工艺为“</w:t>
                  </w:r>
                  <w:r>
                    <w:rPr>
                      <w:color w:val="auto"/>
                    </w:rPr>
                    <w:t>格栅+调节+混凝气浮+</w:t>
                  </w:r>
                  <w:r>
                    <w:rPr>
                      <w:rFonts w:hint="eastAsia"/>
                      <w:color w:val="auto"/>
                      <w:lang w:val="en-US" w:eastAsia="zh-CN"/>
                    </w:rPr>
                    <w:t>生化</w:t>
                  </w:r>
                  <w:r>
                    <w:rPr>
                      <w:color w:val="auto"/>
                    </w:rPr>
                    <w:t>+二沉+砂滤+碳滤</w:t>
                  </w:r>
                  <w:r>
                    <w:rPr>
                      <w:rFonts w:hint="eastAsia"/>
                      <w:color w:val="auto"/>
                    </w:rPr>
                    <w:t>”</w:t>
                  </w:r>
                </w:p>
              </w:tc>
              <w:tc>
                <w:tcPr>
                  <w:tcW w:w="2020" w:type="pct"/>
                  <w:tcBorders>
                    <w:tl2br w:val="nil"/>
                    <w:tr2bl w:val="nil"/>
                  </w:tcBorders>
                  <w:vAlign w:val="center"/>
                </w:tcPr>
                <w:p w14:paraId="47CE8C63">
                  <w:pPr>
                    <w:pStyle w:val="51"/>
                    <w:rPr>
                      <w:color w:val="auto"/>
                    </w:rPr>
                  </w:pPr>
                  <w:r>
                    <w:rPr>
                      <w:rFonts w:hint="eastAsia"/>
                      <w:color w:val="auto"/>
                    </w:rPr>
                    <w:t>经厂区内污水处理站预处理达标后全部回用于喷水织造、不外排</w:t>
                  </w:r>
                </w:p>
              </w:tc>
            </w:tr>
            <w:tr w14:paraId="2A79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tcBorders>
                    <w:tl2br w:val="nil"/>
                    <w:tr2bl w:val="nil"/>
                  </w:tcBorders>
                  <w:vAlign w:val="center"/>
                </w:tcPr>
                <w:p w14:paraId="0DF58753">
                  <w:pPr>
                    <w:pStyle w:val="51"/>
                    <w:rPr>
                      <w:color w:val="auto"/>
                    </w:rPr>
                  </w:pPr>
                </w:p>
              </w:tc>
              <w:tc>
                <w:tcPr>
                  <w:tcW w:w="241" w:type="pct"/>
                  <w:vMerge w:val="restart"/>
                  <w:tcBorders>
                    <w:tl2br w:val="nil"/>
                    <w:tr2bl w:val="nil"/>
                  </w:tcBorders>
                  <w:vAlign w:val="center"/>
                </w:tcPr>
                <w:p w14:paraId="69512A99">
                  <w:pPr>
                    <w:pStyle w:val="51"/>
                    <w:rPr>
                      <w:color w:val="auto"/>
                    </w:rPr>
                  </w:pPr>
                  <w:r>
                    <w:rPr>
                      <w:rFonts w:hint="eastAsia"/>
                      <w:color w:val="auto"/>
                    </w:rPr>
                    <w:t>固废处理</w:t>
                  </w:r>
                </w:p>
              </w:tc>
              <w:tc>
                <w:tcPr>
                  <w:tcW w:w="470" w:type="pct"/>
                  <w:tcBorders>
                    <w:tl2br w:val="nil"/>
                    <w:tr2bl w:val="nil"/>
                  </w:tcBorders>
                  <w:vAlign w:val="center"/>
                </w:tcPr>
                <w:p w14:paraId="477B8D45">
                  <w:pPr>
                    <w:pStyle w:val="51"/>
                    <w:rPr>
                      <w:color w:val="auto"/>
                    </w:rPr>
                  </w:pPr>
                  <w:r>
                    <w:rPr>
                      <w:rFonts w:hint="eastAsia"/>
                      <w:color w:val="auto"/>
                    </w:rPr>
                    <w:t>一般固废</w:t>
                  </w:r>
                </w:p>
              </w:tc>
              <w:tc>
                <w:tcPr>
                  <w:tcW w:w="1880" w:type="pct"/>
                  <w:tcBorders>
                    <w:tl2br w:val="nil"/>
                    <w:tr2bl w:val="nil"/>
                  </w:tcBorders>
                  <w:vAlign w:val="center"/>
                </w:tcPr>
                <w:p w14:paraId="39F0E3CF">
                  <w:pPr>
                    <w:pStyle w:val="51"/>
                    <w:rPr>
                      <w:color w:val="auto"/>
                    </w:rPr>
                  </w:pPr>
                  <w:r>
                    <w:rPr>
                      <w:rFonts w:hint="eastAsia"/>
                      <w:color w:val="auto"/>
                    </w:rPr>
                    <w:t>一般固废库占地面积为60m</w:t>
                  </w:r>
                  <w:r>
                    <w:rPr>
                      <w:rFonts w:hint="eastAsia"/>
                      <w:color w:val="auto"/>
                      <w:vertAlign w:val="superscript"/>
                    </w:rPr>
                    <w:t>2</w:t>
                  </w:r>
                </w:p>
              </w:tc>
              <w:tc>
                <w:tcPr>
                  <w:tcW w:w="2020" w:type="pct"/>
                  <w:tcBorders>
                    <w:tl2br w:val="nil"/>
                    <w:tr2bl w:val="nil"/>
                  </w:tcBorders>
                  <w:vAlign w:val="center"/>
                </w:tcPr>
                <w:p w14:paraId="3CAE29E7">
                  <w:pPr>
                    <w:pStyle w:val="51"/>
                    <w:rPr>
                      <w:color w:val="auto"/>
                    </w:rPr>
                  </w:pPr>
                  <w:r>
                    <w:rPr>
                      <w:rFonts w:hint="eastAsia"/>
                      <w:color w:val="auto"/>
                    </w:rPr>
                    <w:t>位于厂区东南侧</w:t>
                  </w:r>
                </w:p>
              </w:tc>
            </w:tr>
            <w:tr w14:paraId="24C8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tcBorders>
                    <w:tl2br w:val="nil"/>
                    <w:tr2bl w:val="nil"/>
                  </w:tcBorders>
                  <w:vAlign w:val="center"/>
                </w:tcPr>
                <w:p w14:paraId="42FE0B2D">
                  <w:pPr>
                    <w:pStyle w:val="51"/>
                    <w:rPr>
                      <w:color w:val="auto"/>
                    </w:rPr>
                  </w:pPr>
                </w:p>
              </w:tc>
              <w:tc>
                <w:tcPr>
                  <w:tcW w:w="241" w:type="pct"/>
                  <w:vMerge w:val="continue"/>
                  <w:tcBorders>
                    <w:tl2br w:val="nil"/>
                    <w:tr2bl w:val="nil"/>
                  </w:tcBorders>
                  <w:vAlign w:val="center"/>
                </w:tcPr>
                <w:p w14:paraId="113CA37B">
                  <w:pPr>
                    <w:pStyle w:val="51"/>
                    <w:rPr>
                      <w:color w:val="auto"/>
                    </w:rPr>
                  </w:pPr>
                </w:p>
              </w:tc>
              <w:tc>
                <w:tcPr>
                  <w:tcW w:w="470" w:type="pct"/>
                  <w:tcBorders>
                    <w:tl2br w:val="nil"/>
                    <w:tr2bl w:val="nil"/>
                  </w:tcBorders>
                  <w:vAlign w:val="center"/>
                </w:tcPr>
                <w:p w14:paraId="75235DD0">
                  <w:pPr>
                    <w:pStyle w:val="51"/>
                    <w:rPr>
                      <w:color w:val="auto"/>
                    </w:rPr>
                  </w:pPr>
                  <w:r>
                    <w:rPr>
                      <w:rFonts w:hint="eastAsia"/>
                      <w:color w:val="auto"/>
                    </w:rPr>
                    <w:t>危险固废</w:t>
                  </w:r>
                </w:p>
              </w:tc>
              <w:tc>
                <w:tcPr>
                  <w:tcW w:w="1880" w:type="pct"/>
                  <w:tcBorders>
                    <w:tl2br w:val="nil"/>
                    <w:tr2bl w:val="nil"/>
                  </w:tcBorders>
                  <w:vAlign w:val="center"/>
                </w:tcPr>
                <w:p w14:paraId="1826755C">
                  <w:pPr>
                    <w:pStyle w:val="51"/>
                    <w:rPr>
                      <w:color w:val="auto"/>
                    </w:rPr>
                  </w:pPr>
                  <w:r>
                    <w:rPr>
                      <w:rFonts w:hint="eastAsia"/>
                      <w:color w:val="auto"/>
                    </w:rPr>
                    <w:t>危废库占地面积为</w:t>
                  </w:r>
                  <w:r>
                    <w:rPr>
                      <w:rFonts w:hint="eastAsia"/>
                      <w:color w:val="auto"/>
                      <w:lang w:val="en-US" w:eastAsia="zh-CN"/>
                    </w:rPr>
                    <w:t>70</w:t>
                  </w:r>
                  <w:r>
                    <w:rPr>
                      <w:rFonts w:hint="eastAsia"/>
                      <w:color w:val="auto"/>
                    </w:rPr>
                    <w:t>m</w:t>
                  </w:r>
                  <w:r>
                    <w:rPr>
                      <w:rFonts w:hint="eastAsia"/>
                      <w:color w:val="auto"/>
                      <w:vertAlign w:val="superscript"/>
                    </w:rPr>
                    <w:t>2</w:t>
                  </w:r>
                </w:p>
              </w:tc>
              <w:tc>
                <w:tcPr>
                  <w:tcW w:w="2020" w:type="pct"/>
                  <w:tcBorders>
                    <w:tl2br w:val="nil"/>
                    <w:tr2bl w:val="nil"/>
                  </w:tcBorders>
                  <w:vAlign w:val="center"/>
                </w:tcPr>
                <w:p w14:paraId="020D10D9">
                  <w:pPr>
                    <w:pStyle w:val="51"/>
                    <w:rPr>
                      <w:color w:val="auto"/>
                    </w:rPr>
                  </w:pPr>
                  <w:r>
                    <w:rPr>
                      <w:rFonts w:hint="eastAsia"/>
                      <w:color w:val="auto"/>
                    </w:rPr>
                    <w:t>位于厂区东南侧</w:t>
                  </w:r>
                </w:p>
              </w:tc>
            </w:tr>
            <w:tr w14:paraId="4255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tcBorders>
                    <w:tl2br w:val="nil"/>
                    <w:tr2bl w:val="nil"/>
                  </w:tcBorders>
                  <w:vAlign w:val="center"/>
                </w:tcPr>
                <w:p w14:paraId="3B5D1D5B">
                  <w:pPr>
                    <w:pStyle w:val="51"/>
                    <w:rPr>
                      <w:color w:val="auto"/>
                    </w:rPr>
                  </w:pPr>
                </w:p>
              </w:tc>
              <w:tc>
                <w:tcPr>
                  <w:tcW w:w="712" w:type="pct"/>
                  <w:gridSpan w:val="2"/>
                  <w:tcBorders>
                    <w:tl2br w:val="nil"/>
                    <w:tr2bl w:val="nil"/>
                  </w:tcBorders>
                  <w:vAlign w:val="center"/>
                </w:tcPr>
                <w:p w14:paraId="485C5B2C">
                  <w:pPr>
                    <w:pStyle w:val="51"/>
                    <w:rPr>
                      <w:color w:val="auto"/>
                    </w:rPr>
                  </w:pPr>
                  <w:r>
                    <w:rPr>
                      <w:rFonts w:hint="eastAsia"/>
                      <w:color w:val="auto"/>
                    </w:rPr>
                    <w:t>噪声处理</w:t>
                  </w:r>
                </w:p>
              </w:tc>
              <w:tc>
                <w:tcPr>
                  <w:tcW w:w="1880" w:type="pct"/>
                  <w:tcBorders>
                    <w:tl2br w:val="nil"/>
                    <w:tr2bl w:val="nil"/>
                  </w:tcBorders>
                  <w:vAlign w:val="center"/>
                </w:tcPr>
                <w:p w14:paraId="3A62E326">
                  <w:pPr>
                    <w:pStyle w:val="51"/>
                    <w:rPr>
                      <w:color w:val="auto"/>
                    </w:rPr>
                  </w:pPr>
                  <w:r>
                    <w:rPr>
                      <w:rFonts w:hint="eastAsia"/>
                      <w:color w:val="auto"/>
                    </w:rPr>
                    <w:t>选用</w:t>
                  </w:r>
                  <w:r>
                    <w:rPr>
                      <w:color w:val="auto"/>
                    </w:rPr>
                    <w:t>低噪声设备、基础减震、厂房</w:t>
                  </w:r>
                  <w:r>
                    <w:rPr>
                      <w:rFonts w:hint="eastAsia"/>
                      <w:color w:val="auto"/>
                    </w:rPr>
                    <w:t>隔声</w:t>
                  </w:r>
                  <w:r>
                    <w:rPr>
                      <w:color w:val="auto"/>
                    </w:rPr>
                    <w:t>、距离衰减</w:t>
                  </w:r>
                  <w:r>
                    <w:rPr>
                      <w:rFonts w:hint="eastAsia"/>
                      <w:color w:val="auto"/>
                    </w:rPr>
                    <w:t>等</w:t>
                  </w:r>
                </w:p>
              </w:tc>
              <w:tc>
                <w:tcPr>
                  <w:tcW w:w="2020" w:type="pct"/>
                  <w:tcBorders>
                    <w:tl2br w:val="nil"/>
                    <w:tr2bl w:val="nil"/>
                  </w:tcBorders>
                  <w:vAlign w:val="center"/>
                </w:tcPr>
                <w:p w14:paraId="7720C424">
                  <w:pPr>
                    <w:pStyle w:val="51"/>
                    <w:rPr>
                      <w:color w:val="auto"/>
                    </w:rPr>
                  </w:pPr>
                  <w:r>
                    <w:rPr>
                      <w:color w:val="auto"/>
                    </w:rPr>
                    <w:t>厂界达《工业企业厂界环境噪声排放标准》（GB12348-2008）中3类标准要求</w:t>
                  </w:r>
                </w:p>
              </w:tc>
            </w:tr>
          </w:tbl>
          <w:p w14:paraId="198D024D">
            <w:pPr>
              <w:pStyle w:val="47"/>
              <w:tabs>
                <w:tab w:val="left" w:pos="7403"/>
              </w:tabs>
              <w:ind w:firstLine="482"/>
              <w:rPr>
                <w:b/>
                <w:bCs/>
                <w:color w:val="auto"/>
              </w:rPr>
            </w:pPr>
            <w:r>
              <w:rPr>
                <w:rFonts w:hint="eastAsia"/>
                <w:b/>
                <w:bCs/>
                <w:color w:val="auto"/>
              </w:rPr>
              <w:t>4、</w:t>
            </w:r>
            <w:r>
              <w:rPr>
                <w:b/>
                <w:bCs/>
                <w:color w:val="auto"/>
              </w:rPr>
              <w:t>主要生产设施</w:t>
            </w:r>
          </w:p>
          <w:p w14:paraId="39AAEE09">
            <w:pPr>
              <w:pStyle w:val="47"/>
              <w:ind w:firstLine="480"/>
              <w:rPr>
                <w:color w:val="auto"/>
              </w:rPr>
            </w:pPr>
            <w:r>
              <w:rPr>
                <w:color w:val="auto"/>
              </w:rPr>
              <w:t>本项目主要生产及环保设备见</w:t>
            </w:r>
            <w:r>
              <w:rPr>
                <w:color w:val="auto"/>
              </w:rPr>
              <w:fldChar w:fldCharType="begin"/>
            </w:r>
            <w:r>
              <w:rPr>
                <w:color w:val="auto"/>
              </w:rPr>
              <w:instrText xml:space="preserve"> REF _Ref25958 \h </w:instrText>
            </w:r>
            <w:r>
              <w:rPr>
                <w:color w:val="auto"/>
              </w:rPr>
              <w:fldChar w:fldCharType="separate"/>
            </w:r>
            <w:r>
              <w:rPr>
                <w:color w:val="auto"/>
              </w:rPr>
              <w:t>表2- 5</w:t>
            </w:r>
            <w:r>
              <w:rPr>
                <w:color w:val="auto"/>
              </w:rPr>
              <w:fldChar w:fldCharType="end"/>
            </w:r>
            <w:r>
              <w:rPr>
                <w:color w:val="auto"/>
              </w:rPr>
              <w:t>。</w:t>
            </w:r>
          </w:p>
          <w:p w14:paraId="2742B4B1">
            <w:pPr>
              <w:pStyle w:val="7"/>
              <w:rPr>
                <w:color w:val="auto"/>
              </w:rPr>
            </w:pPr>
            <w:bookmarkStart w:id="27" w:name="_Ref25958"/>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5</w:t>
            </w:r>
            <w:r>
              <w:rPr>
                <w:color w:val="auto"/>
              </w:rPr>
              <w:fldChar w:fldCharType="end"/>
            </w:r>
            <w:bookmarkEnd w:id="27"/>
            <w:r>
              <w:rPr>
                <w:color w:val="auto"/>
              </w:rPr>
              <w:t xml:space="preserve"> 项目主要生产及环保设备一览表</w:t>
            </w:r>
          </w:p>
          <w:tbl>
            <w:tblPr>
              <w:tblStyle w:val="15"/>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235"/>
              <w:gridCol w:w="1965"/>
              <w:gridCol w:w="2132"/>
              <w:gridCol w:w="1416"/>
            </w:tblGrid>
            <w:tr w14:paraId="2586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 w:type="dxa"/>
                  <w:tcBorders>
                    <w:tl2br w:val="nil"/>
                    <w:tr2bl w:val="nil"/>
                  </w:tcBorders>
                  <w:vAlign w:val="center"/>
                </w:tcPr>
                <w:p w14:paraId="58F7C04D">
                  <w:pPr>
                    <w:pStyle w:val="49"/>
                    <w:rPr>
                      <w:color w:val="auto"/>
                    </w:rPr>
                  </w:pPr>
                  <w:r>
                    <w:rPr>
                      <w:color w:val="auto"/>
                    </w:rPr>
                    <w:t>序号</w:t>
                  </w:r>
                </w:p>
              </w:tc>
              <w:tc>
                <w:tcPr>
                  <w:tcW w:w="2235" w:type="dxa"/>
                  <w:tcBorders>
                    <w:tl2br w:val="nil"/>
                    <w:tr2bl w:val="nil"/>
                  </w:tcBorders>
                  <w:vAlign w:val="center"/>
                </w:tcPr>
                <w:p w14:paraId="307BB0EF">
                  <w:pPr>
                    <w:pStyle w:val="49"/>
                    <w:rPr>
                      <w:color w:val="auto"/>
                    </w:rPr>
                  </w:pPr>
                  <w:r>
                    <w:rPr>
                      <w:color w:val="auto"/>
                    </w:rPr>
                    <w:t>设备名称</w:t>
                  </w:r>
                </w:p>
              </w:tc>
              <w:tc>
                <w:tcPr>
                  <w:tcW w:w="1965" w:type="dxa"/>
                  <w:tcBorders>
                    <w:tl2br w:val="nil"/>
                    <w:tr2bl w:val="nil"/>
                  </w:tcBorders>
                  <w:vAlign w:val="center"/>
                </w:tcPr>
                <w:p w14:paraId="1D497A3E">
                  <w:pPr>
                    <w:pStyle w:val="49"/>
                    <w:rPr>
                      <w:color w:val="auto"/>
                    </w:rPr>
                  </w:pPr>
                  <w:r>
                    <w:rPr>
                      <w:color w:val="auto"/>
                    </w:rPr>
                    <w:t>型号</w:t>
                  </w:r>
                </w:p>
              </w:tc>
              <w:tc>
                <w:tcPr>
                  <w:tcW w:w="2132" w:type="dxa"/>
                  <w:tcBorders>
                    <w:tl2br w:val="nil"/>
                    <w:tr2bl w:val="nil"/>
                  </w:tcBorders>
                  <w:vAlign w:val="center"/>
                </w:tcPr>
                <w:p w14:paraId="62F4A659">
                  <w:pPr>
                    <w:pStyle w:val="49"/>
                    <w:rPr>
                      <w:color w:val="auto"/>
                    </w:rPr>
                  </w:pPr>
                  <w:r>
                    <w:rPr>
                      <w:color w:val="auto"/>
                    </w:rPr>
                    <w:t>数量（台/条）</w:t>
                  </w:r>
                </w:p>
              </w:tc>
              <w:tc>
                <w:tcPr>
                  <w:tcW w:w="1416" w:type="dxa"/>
                  <w:tcBorders>
                    <w:tl2br w:val="nil"/>
                    <w:tr2bl w:val="nil"/>
                  </w:tcBorders>
                  <w:vAlign w:val="center"/>
                </w:tcPr>
                <w:p w14:paraId="2003BE5E">
                  <w:pPr>
                    <w:pStyle w:val="49"/>
                    <w:rPr>
                      <w:color w:val="auto"/>
                    </w:rPr>
                  </w:pPr>
                  <w:r>
                    <w:rPr>
                      <w:color w:val="auto"/>
                    </w:rPr>
                    <w:t>备注</w:t>
                  </w:r>
                </w:p>
              </w:tc>
            </w:tr>
            <w:tr w14:paraId="4953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 w:type="dxa"/>
                  <w:tcBorders>
                    <w:tl2br w:val="nil"/>
                    <w:tr2bl w:val="nil"/>
                  </w:tcBorders>
                  <w:vAlign w:val="center"/>
                </w:tcPr>
                <w:p w14:paraId="6DA75155">
                  <w:pPr>
                    <w:pStyle w:val="51"/>
                    <w:rPr>
                      <w:color w:val="auto"/>
                    </w:rPr>
                  </w:pPr>
                  <w:r>
                    <w:rPr>
                      <w:color w:val="auto"/>
                    </w:rPr>
                    <w:t>1</w:t>
                  </w:r>
                </w:p>
              </w:tc>
              <w:tc>
                <w:tcPr>
                  <w:tcW w:w="2235" w:type="dxa"/>
                  <w:tcBorders>
                    <w:tl2br w:val="nil"/>
                    <w:tr2bl w:val="nil"/>
                  </w:tcBorders>
                  <w:vAlign w:val="center"/>
                </w:tcPr>
                <w:p w14:paraId="7DEFF3E8">
                  <w:pPr>
                    <w:pStyle w:val="51"/>
                    <w:rPr>
                      <w:color w:val="auto"/>
                    </w:rPr>
                  </w:pPr>
                  <w:r>
                    <w:rPr>
                      <w:rFonts w:hint="eastAsia"/>
                      <w:color w:val="auto"/>
                    </w:rPr>
                    <w:t>加弹机</w:t>
                  </w:r>
                </w:p>
              </w:tc>
              <w:tc>
                <w:tcPr>
                  <w:tcW w:w="1965" w:type="dxa"/>
                  <w:tcBorders>
                    <w:tl2br w:val="nil"/>
                    <w:tr2bl w:val="nil"/>
                  </w:tcBorders>
                  <w:vAlign w:val="center"/>
                </w:tcPr>
                <w:p w14:paraId="03241905">
                  <w:pPr>
                    <w:pStyle w:val="51"/>
                    <w:rPr>
                      <w:color w:val="auto"/>
                    </w:rPr>
                  </w:pPr>
                  <w:r>
                    <w:rPr>
                      <w:rFonts w:hint="eastAsia"/>
                      <w:color w:val="auto"/>
                    </w:rPr>
                    <w:t>/</w:t>
                  </w:r>
                </w:p>
              </w:tc>
              <w:tc>
                <w:tcPr>
                  <w:tcW w:w="2132" w:type="dxa"/>
                  <w:tcBorders>
                    <w:tl2br w:val="nil"/>
                    <w:tr2bl w:val="nil"/>
                  </w:tcBorders>
                  <w:vAlign w:val="center"/>
                </w:tcPr>
                <w:p w14:paraId="127156CB">
                  <w:pPr>
                    <w:pStyle w:val="51"/>
                    <w:rPr>
                      <w:color w:val="auto"/>
                    </w:rPr>
                  </w:pPr>
                  <w:r>
                    <w:rPr>
                      <w:rFonts w:hint="eastAsia"/>
                      <w:color w:val="auto"/>
                    </w:rPr>
                    <w:t>20</w:t>
                  </w:r>
                </w:p>
              </w:tc>
              <w:tc>
                <w:tcPr>
                  <w:tcW w:w="1416" w:type="dxa"/>
                  <w:tcBorders>
                    <w:tl2br w:val="nil"/>
                    <w:tr2bl w:val="nil"/>
                  </w:tcBorders>
                  <w:vAlign w:val="center"/>
                </w:tcPr>
                <w:p w14:paraId="18D170C4">
                  <w:pPr>
                    <w:pStyle w:val="51"/>
                    <w:rPr>
                      <w:color w:val="auto"/>
                    </w:rPr>
                  </w:pPr>
                  <w:r>
                    <w:rPr>
                      <w:rFonts w:hint="eastAsia"/>
                      <w:color w:val="auto"/>
                    </w:rPr>
                    <w:t>加弹</w:t>
                  </w:r>
                </w:p>
              </w:tc>
            </w:tr>
            <w:tr w14:paraId="6BE4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 w:type="dxa"/>
                  <w:tcBorders>
                    <w:tl2br w:val="nil"/>
                    <w:tr2bl w:val="nil"/>
                  </w:tcBorders>
                  <w:vAlign w:val="center"/>
                </w:tcPr>
                <w:p w14:paraId="557F6946">
                  <w:pPr>
                    <w:pStyle w:val="51"/>
                    <w:rPr>
                      <w:color w:val="auto"/>
                    </w:rPr>
                  </w:pPr>
                  <w:r>
                    <w:rPr>
                      <w:color w:val="auto"/>
                    </w:rPr>
                    <w:t>2</w:t>
                  </w:r>
                </w:p>
              </w:tc>
              <w:tc>
                <w:tcPr>
                  <w:tcW w:w="2235" w:type="dxa"/>
                  <w:tcBorders>
                    <w:tl2br w:val="nil"/>
                    <w:tr2bl w:val="nil"/>
                  </w:tcBorders>
                  <w:vAlign w:val="center"/>
                </w:tcPr>
                <w:p w14:paraId="4D5AF9D1">
                  <w:pPr>
                    <w:pStyle w:val="51"/>
                    <w:rPr>
                      <w:color w:val="auto"/>
                    </w:rPr>
                  </w:pPr>
                  <w:r>
                    <w:rPr>
                      <w:rFonts w:hint="eastAsia"/>
                      <w:color w:val="auto"/>
                    </w:rPr>
                    <w:t>整经机</w:t>
                  </w:r>
                </w:p>
              </w:tc>
              <w:tc>
                <w:tcPr>
                  <w:tcW w:w="1965" w:type="dxa"/>
                  <w:tcBorders>
                    <w:tl2br w:val="nil"/>
                    <w:tr2bl w:val="nil"/>
                  </w:tcBorders>
                  <w:vAlign w:val="center"/>
                </w:tcPr>
                <w:p w14:paraId="50BA90E1">
                  <w:pPr>
                    <w:pStyle w:val="51"/>
                    <w:rPr>
                      <w:color w:val="auto"/>
                    </w:rPr>
                  </w:pPr>
                  <w:r>
                    <w:rPr>
                      <w:rFonts w:hint="eastAsia"/>
                      <w:color w:val="auto"/>
                    </w:rPr>
                    <w:t>/</w:t>
                  </w:r>
                </w:p>
              </w:tc>
              <w:tc>
                <w:tcPr>
                  <w:tcW w:w="2132" w:type="dxa"/>
                  <w:tcBorders>
                    <w:tl2br w:val="nil"/>
                    <w:tr2bl w:val="nil"/>
                  </w:tcBorders>
                  <w:vAlign w:val="center"/>
                </w:tcPr>
                <w:p w14:paraId="6DA801DD">
                  <w:pPr>
                    <w:pStyle w:val="51"/>
                    <w:rPr>
                      <w:color w:val="auto"/>
                    </w:rPr>
                  </w:pPr>
                  <w:r>
                    <w:rPr>
                      <w:rFonts w:hint="eastAsia"/>
                      <w:color w:val="auto"/>
                    </w:rPr>
                    <w:t>16</w:t>
                  </w:r>
                </w:p>
              </w:tc>
              <w:tc>
                <w:tcPr>
                  <w:tcW w:w="1416" w:type="dxa"/>
                  <w:tcBorders>
                    <w:tl2br w:val="nil"/>
                    <w:tr2bl w:val="nil"/>
                  </w:tcBorders>
                  <w:vAlign w:val="center"/>
                </w:tcPr>
                <w:p w14:paraId="6A1D7926">
                  <w:pPr>
                    <w:pStyle w:val="51"/>
                    <w:rPr>
                      <w:color w:val="auto"/>
                    </w:rPr>
                  </w:pPr>
                  <w:r>
                    <w:rPr>
                      <w:rFonts w:hint="eastAsia"/>
                      <w:color w:val="auto"/>
                    </w:rPr>
                    <w:t>整经</w:t>
                  </w:r>
                </w:p>
              </w:tc>
            </w:tr>
            <w:tr w14:paraId="4189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 w:type="dxa"/>
                  <w:tcBorders>
                    <w:tl2br w:val="nil"/>
                    <w:tr2bl w:val="nil"/>
                  </w:tcBorders>
                  <w:vAlign w:val="center"/>
                </w:tcPr>
                <w:p w14:paraId="60A0DDB5">
                  <w:pPr>
                    <w:pStyle w:val="51"/>
                    <w:rPr>
                      <w:color w:val="auto"/>
                    </w:rPr>
                  </w:pPr>
                  <w:r>
                    <w:rPr>
                      <w:color w:val="auto"/>
                    </w:rPr>
                    <w:t>3</w:t>
                  </w:r>
                </w:p>
              </w:tc>
              <w:tc>
                <w:tcPr>
                  <w:tcW w:w="2235" w:type="dxa"/>
                  <w:tcBorders>
                    <w:tl2br w:val="nil"/>
                    <w:tr2bl w:val="nil"/>
                  </w:tcBorders>
                  <w:vAlign w:val="center"/>
                </w:tcPr>
                <w:p w14:paraId="5F50741E">
                  <w:pPr>
                    <w:pStyle w:val="51"/>
                    <w:rPr>
                      <w:color w:val="auto"/>
                    </w:rPr>
                  </w:pPr>
                  <w:r>
                    <w:rPr>
                      <w:rFonts w:hint="eastAsia"/>
                      <w:color w:val="auto"/>
                    </w:rPr>
                    <w:t>喷水织机</w:t>
                  </w:r>
                </w:p>
              </w:tc>
              <w:tc>
                <w:tcPr>
                  <w:tcW w:w="1965" w:type="dxa"/>
                  <w:tcBorders>
                    <w:tl2br w:val="nil"/>
                    <w:tr2bl w:val="nil"/>
                  </w:tcBorders>
                  <w:vAlign w:val="center"/>
                </w:tcPr>
                <w:p w14:paraId="039D4437">
                  <w:pPr>
                    <w:pStyle w:val="51"/>
                    <w:rPr>
                      <w:color w:val="auto"/>
                    </w:rPr>
                  </w:pPr>
                  <w:r>
                    <w:rPr>
                      <w:rFonts w:hint="eastAsia"/>
                      <w:color w:val="auto"/>
                    </w:rPr>
                    <w:t>/</w:t>
                  </w:r>
                </w:p>
              </w:tc>
              <w:tc>
                <w:tcPr>
                  <w:tcW w:w="2132" w:type="dxa"/>
                  <w:tcBorders>
                    <w:tl2br w:val="nil"/>
                    <w:tr2bl w:val="nil"/>
                  </w:tcBorders>
                  <w:vAlign w:val="center"/>
                </w:tcPr>
                <w:p w14:paraId="0E78B03B">
                  <w:pPr>
                    <w:pStyle w:val="51"/>
                    <w:rPr>
                      <w:color w:val="auto"/>
                    </w:rPr>
                  </w:pPr>
                  <w:r>
                    <w:rPr>
                      <w:rFonts w:hint="eastAsia"/>
                      <w:color w:val="auto"/>
                    </w:rPr>
                    <w:t>1200</w:t>
                  </w:r>
                </w:p>
              </w:tc>
              <w:tc>
                <w:tcPr>
                  <w:tcW w:w="1416" w:type="dxa"/>
                  <w:tcBorders>
                    <w:tl2br w:val="nil"/>
                    <w:tr2bl w:val="nil"/>
                  </w:tcBorders>
                  <w:vAlign w:val="center"/>
                </w:tcPr>
                <w:p w14:paraId="68D78AA8">
                  <w:pPr>
                    <w:pStyle w:val="51"/>
                    <w:rPr>
                      <w:color w:val="auto"/>
                    </w:rPr>
                  </w:pPr>
                  <w:r>
                    <w:rPr>
                      <w:rFonts w:hint="eastAsia"/>
                      <w:color w:val="auto"/>
                    </w:rPr>
                    <w:t>喷水织造</w:t>
                  </w:r>
                </w:p>
              </w:tc>
            </w:tr>
            <w:tr w14:paraId="059F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 w:type="dxa"/>
                  <w:tcBorders>
                    <w:tl2br w:val="nil"/>
                    <w:tr2bl w:val="nil"/>
                  </w:tcBorders>
                  <w:vAlign w:val="center"/>
                </w:tcPr>
                <w:p w14:paraId="060604FC">
                  <w:pPr>
                    <w:pStyle w:val="51"/>
                    <w:rPr>
                      <w:color w:val="auto"/>
                    </w:rPr>
                  </w:pPr>
                  <w:r>
                    <w:rPr>
                      <w:color w:val="auto"/>
                    </w:rPr>
                    <w:t>4</w:t>
                  </w:r>
                </w:p>
              </w:tc>
              <w:tc>
                <w:tcPr>
                  <w:tcW w:w="2235" w:type="dxa"/>
                  <w:tcBorders>
                    <w:tl2br w:val="nil"/>
                    <w:tr2bl w:val="nil"/>
                  </w:tcBorders>
                  <w:vAlign w:val="center"/>
                </w:tcPr>
                <w:p w14:paraId="6270AB3D">
                  <w:pPr>
                    <w:pStyle w:val="51"/>
                    <w:rPr>
                      <w:color w:val="auto"/>
                    </w:rPr>
                  </w:pPr>
                  <w:r>
                    <w:rPr>
                      <w:rFonts w:hint="eastAsia"/>
                      <w:color w:val="auto"/>
                    </w:rPr>
                    <w:t>磨毛机</w:t>
                  </w:r>
                </w:p>
              </w:tc>
              <w:tc>
                <w:tcPr>
                  <w:tcW w:w="1965" w:type="dxa"/>
                  <w:tcBorders>
                    <w:tl2br w:val="nil"/>
                    <w:tr2bl w:val="nil"/>
                  </w:tcBorders>
                  <w:vAlign w:val="center"/>
                </w:tcPr>
                <w:p w14:paraId="33F57895">
                  <w:pPr>
                    <w:pStyle w:val="51"/>
                    <w:rPr>
                      <w:color w:val="auto"/>
                    </w:rPr>
                  </w:pPr>
                  <w:r>
                    <w:rPr>
                      <w:rFonts w:hint="eastAsia"/>
                      <w:color w:val="auto"/>
                    </w:rPr>
                    <w:t>/</w:t>
                  </w:r>
                </w:p>
              </w:tc>
              <w:tc>
                <w:tcPr>
                  <w:tcW w:w="2132" w:type="dxa"/>
                  <w:tcBorders>
                    <w:tl2br w:val="nil"/>
                    <w:tr2bl w:val="nil"/>
                  </w:tcBorders>
                  <w:vAlign w:val="center"/>
                </w:tcPr>
                <w:p w14:paraId="5DA5F88B">
                  <w:pPr>
                    <w:pStyle w:val="51"/>
                    <w:rPr>
                      <w:color w:val="auto"/>
                    </w:rPr>
                  </w:pPr>
                  <w:r>
                    <w:rPr>
                      <w:rFonts w:hint="eastAsia"/>
                      <w:color w:val="auto"/>
                    </w:rPr>
                    <w:t>4</w:t>
                  </w:r>
                </w:p>
              </w:tc>
              <w:tc>
                <w:tcPr>
                  <w:tcW w:w="1416" w:type="dxa"/>
                  <w:tcBorders>
                    <w:tl2br w:val="nil"/>
                    <w:tr2bl w:val="nil"/>
                  </w:tcBorders>
                  <w:vAlign w:val="center"/>
                </w:tcPr>
                <w:p w14:paraId="4FD4A490">
                  <w:pPr>
                    <w:pStyle w:val="51"/>
                    <w:rPr>
                      <w:color w:val="auto"/>
                    </w:rPr>
                  </w:pPr>
                  <w:r>
                    <w:rPr>
                      <w:rFonts w:hint="eastAsia"/>
                      <w:color w:val="auto"/>
                    </w:rPr>
                    <w:t>磨毛</w:t>
                  </w:r>
                </w:p>
              </w:tc>
            </w:tr>
            <w:tr w14:paraId="5DA2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 w:type="dxa"/>
                  <w:tcBorders>
                    <w:tl2br w:val="nil"/>
                    <w:tr2bl w:val="nil"/>
                  </w:tcBorders>
                  <w:vAlign w:val="center"/>
                </w:tcPr>
                <w:p w14:paraId="71E97DD9">
                  <w:pPr>
                    <w:pStyle w:val="51"/>
                    <w:rPr>
                      <w:color w:val="auto"/>
                    </w:rPr>
                  </w:pPr>
                  <w:r>
                    <w:rPr>
                      <w:color w:val="auto"/>
                    </w:rPr>
                    <w:t>5</w:t>
                  </w:r>
                </w:p>
              </w:tc>
              <w:tc>
                <w:tcPr>
                  <w:tcW w:w="2235" w:type="dxa"/>
                  <w:tcBorders>
                    <w:tl2br w:val="nil"/>
                    <w:tr2bl w:val="nil"/>
                  </w:tcBorders>
                  <w:vAlign w:val="center"/>
                </w:tcPr>
                <w:p w14:paraId="2B5E9513">
                  <w:pPr>
                    <w:pStyle w:val="51"/>
                    <w:rPr>
                      <w:color w:val="auto"/>
                    </w:rPr>
                  </w:pPr>
                  <w:r>
                    <w:rPr>
                      <w:rFonts w:hint="eastAsia"/>
                      <w:color w:val="auto"/>
                    </w:rPr>
                    <w:t>验布机</w:t>
                  </w:r>
                </w:p>
              </w:tc>
              <w:tc>
                <w:tcPr>
                  <w:tcW w:w="1965" w:type="dxa"/>
                  <w:tcBorders>
                    <w:tl2br w:val="nil"/>
                    <w:tr2bl w:val="nil"/>
                  </w:tcBorders>
                  <w:vAlign w:val="center"/>
                </w:tcPr>
                <w:p w14:paraId="2AD79F01">
                  <w:pPr>
                    <w:pStyle w:val="51"/>
                    <w:rPr>
                      <w:color w:val="auto"/>
                    </w:rPr>
                  </w:pPr>
                  <w:r>
                    <w:rPr>
                      <w:rFonts w:hint="eastAsia"/>
                      <w:color w:val="auto"/>
                    </w:rPr>
                    <w:t>/</w:t>
                  </w:r>
                </w:p>
              </w:tc>
              <w:tc>
                <w:tcPr>
                  <w:tcW w:w="2132" w:type="dxa"/>
                  <w:tcBorders>
                    <w:tl2br w:val="nil"/>
                    <w:tr2bl w:val="nil"/>
                  </w:tcBorders>
                  <w:vAlign w:val="center"/>
                </w:tcPr>
                <w:p w14:paraId="23C1F032">
                  <w:pPr>
                    <w:pStyle w:val="51"/>
                    <w:rPr>
                      <w:color w:val="auto"/>
                    </w:rPr>
                  </w:pPr>
                  <w:r>
                    <w:rPr>
                      <w:rFonts w:hint="eastAsia"/>
                      <w:color w:val="auto"/>
                    </w:rPr>
                    <w:t>20</w:t>
                  </w:r>
                </w:p>
              </w:tc>
              <w:tc>
                <w:tcPr>
                  <w:tcW w:w="1416" w:type="dxa"/>
                  <w:tcBorders>
                    <w:tl2br w:val="nil"/>
                    <w:tr2bl w:val="nil"/>
                  </w:tcBorders>
                  <w:vAlign w:val="center"/>
                </w:tcPr>
                <w:p w14:paraId="30E8B981">
                  <w:pPr>
                    <w:pStyle w:val="51"/>
                    <w:rPr>
                      <w:color w:val="auto"/>
                    </w:rPr>
                  </w:pPr>
                  <w:r>
                    <w:rPr>
                      <w:rFonts w:hint="eastAsia"/>
                      <w:color w:val="auto"/>
                    </w:rPr>
                    <w:t>验布</w:t>
                  </w:r>
                </w:p>
              </w:tc>
            </w:tr>
            <w:tr w14:paraId="13BD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 w:type="dxa"/>
                  <w:tcBorders>
                    <w:tl2br w:val="nil"/>
                    <w:tr2bl w:val="nil"/>
                  </w:tcBorders>
                  <w:vAlign w:val="center"/>
                </w:tcPr>
                <w:p w14:paraId="2E016B6B">
                  <w:pPr>
                    <w:pStyle w:val="51"/>
                    <w:rPr>
                      <w:color w:val="auto"/>
                    </w:rPr>
                  </w:pPr>
                  <w:r>
                    <w:rPr>
                      <w:rFonts w:hint="eastAsia"/>
                      <w:color w:val="auto"/>
                    </w:rPr>
                    <w:t>6</w:t>
                  </w:r>
                </w:p>
              </w:tc>
              <w:tc>
                <w:tcPr>
                  <w:tcW w:w="2235" w:type="dxa"/>
                  <w:tcBorders>
                    <w:tl2br w:val="nil"/>
                    <w:tr2bl w:val="nil"/>
                  </w:tcBorders>
                  <w:vAlign w:val="center"/>
                </w:tcPr>
                <w:p w14:paraId="66132F8F">
                  <w:pPr>
                    <w:pStyle w:val="51"/>
                    <w:rPr>
                      <w:color w:val="auto"/>
                    </w:rPr>
                  </w:pPr>
                  <w:r>
                    <w:rPr>
                      <w:rFonts w:hint="eastAsia"/>
                      <w:color w:val="auto"/>
                    </w:rPr>
                    <w:t>空压机</w:t>
                  </w:r>
                </w:p>
              </w:tc>
              <w:tc>
                <w:tcPr>
                  <w:tcW w:w="1965" w:type="dxa"/>
                  <w:tcBorders>
                    <w:tl2br w:val="nil"/>
                    <w:tr2bl w:val="nil"/>
                  </w:tcBorders>
                  <w:vAlign w:val="center"/>
                </w:tcPr>
                <w:p w14:paraId="4E405A45">
                  <w:pPr>
                    <w:pStyle w:val="51"/>
                    <w:rPr>
                      <w:color w:val="auto"/>
                    </w:rPr>
                  </w:pPr>
                  <w:r>
                    <w:rPr>
                      <w:rFonts w:hint="eastAsia"/>
                      <w:color w:val="auto"/>
                    </w:rPr>
                    <w:t>/</w:t>
                  </w:r>
                </w:p>
              </w:tc>
              <w:tc>
                <w:tcPr>
                  <w:tcW w:w="2132" w:type="dxa"/>
                  <w:tcBorders>
                    <w:tl2br w:val="nil"/>
                    <w:tr2bl w:val="nil"/>
                  </w:tcBorders>
                  <w:vAlign w:val="center"/>
                </w:tcPr>
                <w:p w14:paraId="5E507735">
                  <w:pPr>
                    <w:pStyle w:val="51"/>
                    <w:rPr>
                      <w:color w:val="auto"/>
                    </w:rPr>
                  </w:pPr>
                  <w:r>
                    <w:rPr>
                      <w:rFonts w:hint="eastAsia"/>
                      <w:color w:val="auto"/>
                    </w:rPr>
                    <w:t>5</w:t>
                  </w:r>
                </w:p>
              </w:tc>
              <w:tc>
                <w:tcPr>
                  <w:tcW w:w="1416" w:type="dxa"/>
                  <w:tcBorders>
                    <w:tl2br w:val="nil"/>
                    <w:tr2bl w:val="nil"/>
                  </w:tcBorders>
                  <w:vAlign w:val="center"/>
                </w:tcPr>
                <w:p w14:paraId="4989DECD">
                  <w:pPr>
                    <w:pStyle w:val="51"/>
                    <w:rPr>
                      <w:color w:val="auto"/>
                    </w:rPr>
                  </w:pPr>
                  <w:r>
                    <w:rPr>
                      <w:rFonts w:hint="eastAsia"/>
                      <w:color w:val="auto"/>
                    </w:rPr>
                    <w:t>/</w:t>
                  </w:r>
                </w:p>
              </w:tc>
            </w:tr>
            <w:tr w14:paraId="1F24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 w:type="dxa"/>
                  <w:tcBorders>
                    <w:tl2br w:val="nil"/>
                    <w:tr2bl w:val="nil"/>
                  </w:tcBorders>
                  <w:vAlign w:val="center"/>
                </w:tcPr>
                <w:p w14:paraId="1C5027E8">
                  <w:pPr>
                    <w:pStyle w:val="51"/>
                    <w:rPr>
                      <w:color w:val="auto"/>
                    </w:rPr>
                  </w:pPr>
                  <w:r>
                    <w:rPr>
                      <w:rFonts w:hint="eastAsia"/>
                      <w:color w:val="auto"/>
                    </w:rPr>
                    <w:t>7</w:t>
                  </w:r>
                </w:p>
              </w:tc>
              <w:tc>
                <w:tcPr>
                  <w:tcW w:w="2235" w:type="dxa"/>
                  <w:tcBorders>
                    <w:tl2br w:val="nil"/>
                    <w:tr2bl w:val="nil"/>
                  </w:tcBorders>
                  <w:vAlign w:val="center"/>
                </w:tcPr>
                <w:p w14:paraId="56026DE3">
                  <w:pPr>
                    <w:pStyle w:val="51"/>
                    <w:rPr>
                      <w:color w:val="auto"/>
                    </w:rPr>
                  </w:pPr>
                  <w:r>
                    <w:rPr>
                      <w:rFonts w:hint="eastAsia"/>
                      <w:color w:val="auto"/>
                    </w:rPr>
                    <w:t>叉车</w:t>
                  </w:r>
                </w:p>
              </w:tc>
              <w:tc>
                <w:tcPr>
                  <w:tcW w:w="1965" w:type="dxa"/>
                  <w:tcBorders>
                    <w:tl2br w:val="nil"/>
                    <w:tr2bl w:val="nil"/>
                  </w:tcBorders>
                  <w:vAlign w:val="center"/>
                </w:tcPr>
                <w:p w14:paraId="051A3B73">
                  <w:pPr>
                    <w:pStyle w:val="51"/>
                    <w:rPr>
                      <w:color w:val="auto"/>
                    </w:rPr>
                  </w:pPr>
                  <w:r>
                    <w:rPr>
                      <w:rFonts w:hint="eastAsia"/>
                      <w:color w:val="auto"/>
                    </w:rPr>
                    <w:t>油叉5台、电叉3台</w:t>
                  </w:r>
                </w:p>
              </w:tc>
              <w:tc>
                <w:tcPr>
                  <w:tcW w:w="2132" w:type="dxa"/>
                  <w:tcBorders>
                    <w:tl2br w:val="nil"/>
                    <w:tr2bl w:val="nil"/>
                  </w:tcBorders>
                  <w:vAlign w:val="center"/>
                </w:tcPr>
                <w:p w14:paraId="6F32C64C">
                  <w:pPr>
                    <w:pStyle w:val="51"/>
                    <w:rPr>
                      <w:color w:val="auto"/>
                    </w:rPr>
                  </w:pPr>
                  <w:r>
                    <w:rPr>
                      <w:rFonts w:hint="eastAsia"/>
                      <w:color w:val="auto"/>
                    </w:rPr>
                    <w:t>8</w:t>
                  </w:r>
                </w:p>
              </w:tc>
              <w:tc>
                <w:tcPr>
                  <w:tcW w:w="1416" w:type="dxa"/>
                  <w:tcBorders>
                    <w:tl2br w:val="nil"/>
                    <w:tr2bl w:val="nil"/>
                  </w:tcBorders>
                  <w:vAlign w:val="center"/>
                </w:tcPr>
                <w:p w14:paraId="1AE33C1C">
                  <w:pPr>
                    <w:pStyle w:val="51"/>
                    <w:rPr>
                      <w:color w:val="auto"/>
                    </w:rPr>
                  </w:pPr>
                  <w:r>
                    <w:rPr>
                      <w:rFonts w:hint="eastAsia"/>
                      <w:color w:val="auto"/>
                    </w:rPr>
                    <w:t>/</w:t>
                  </w:r>
                </w:p>
              </w:tc>
            </w:tr>
            <w:tr w14:paraId="3EE2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 w:type="dxa"/>
                  <w:tcBorders>
                    <w:tl2br w:val="nil"/>
                    <w:tr2bl w:val="nil"/>
                  </w:tcBorders>
                  <w:vAlign w:val="center"/>
                </w:tcPr>
                <w:p w14:paraId="13EE3DD3">
                  <w:pPr>
                    <w:pStyle w:val="51"/>
                    <w:rPr>
                      <w:color w:val="auto"/>
                    </w:rPr>
                  </w:pPr>
                  <w:r>
                    <w:rPr>
                      <w:rFonts w:hint="eastAsia"/>
                      <w:color w:val="auto"/>
                    </w:rPr>
                    <w:t>8</w:t>
                  </w:r>
                </w:p>
              </w:tc>
              <w:tc>
                <w:tcPr>
                  <w:tcW w:w="2235" w:type="dxa"/>
                  <w:tcBorders>
                    <w:tl2br w:val="nil"/>
                    <w:tr2bl w:val="nil"/>
                  </w:tcBorders>
                  <w:vAlign w:val="center"/>
                </w:tcPr>
                <w:p w14:paraId="26EEB2B5">
                  <w:pPr>
                    <w:pStyle w:val="51"/>
                    <w:rPr>
                      <w:color w:val="auto"/>
                    </w:rPr>
                  </w:pPr>
                  <w:r>
                    <w:rPr>
                      <w:rFonts w:hint="eastAsia"/>
                      <w:color w:val="auto"/>
                    </w:rPr>
                    <w:t>污水处理站</w:t>
                  </w:r>
                </w:p>
              </w:tc>
              <w:tc>
                <w:tcPr>
                  <w:tcW w:w="1965" w:type="dxa"/>
                  <w:tcBorders>
                    <w:tl2br w:val="nil"/>
                    <w:tr2bl w:val="nil"/>
                  </w:tcBorders>
                  <w:vAlign w:val="center"/>
                </w:tcPr>
                <w:p w14:paraId="61DCA910">
                  <w:pPr>
                    <w:pStyle w:val="51"/>
                    <w:rPr>
                      <w:color w:val="auto"/>
                    </w:rPr>
                  </w:pPr>
                  <w:r>
                    <w:rPr>
                      <w:rFonts w:hint="eastAsia"/>
                      <w:color w:val="auto"/>
                    </w:rPr>
                    <w:t>/</w:t>
                  </w:r>
                </w:p>
              </w:tc>
              <w:tc>
                <w:tcPr>
                  <w:tcW w:w="2132" w:type="dxa"/>
                  <w:tcBorders>
                    <w:tl2br w:val="nil"/>
                    <w:tr2bl w:val="nil"/>
                  </w:tcBorders>
                  <w:vAlign w:val="center"/>
                </w:tcPr>
                <w:p w14:paraId="14F6E269">
                  <w:pPr>
                    <w:pStyle w:val="51"/>
                    <w:rPr>
                      <w:color w:val="auto"/>
                    </w:rPr>
                  </w:pPr>
                  <w:r>
                    <w:rPr>
                      <w:rFonts w:hint="eastAsia"/>
                      <w:color w:val="auto"/>
                    </w:rPr>
                    <w:t>1</w:t>
                  </w:r>
                </w:p>
              </w:tc>
              <w:tc>
                <w:tcPr>
                  <w:tcW w:w="1416" w:type="dxa"/>
                  <w:tcBorders>
                    <w:tl2br w:val="nil"/>
                    <w:tr2bl w:val="nil"/>
                  </w:tcBorders>
                  <w:vAlign w:val="center"/>
                </w:tcPr>
                <w:p w14:paraId="3A5646CD">
                  <w:pPr>
                    <w:pStyle w:val="51"/>
                    <w:rPr>
                      <w:color w:val="auto"/>
                    </w:rPr>
                  </w:pPr>
                  <w:r>
                    <w:rPr>
                      <w:rFonts w:hint="eastAsia"/>
                      <w:color w:val="auto"/>
                    </w:rPr>
                    <w:t>/</w:t>
                  </w:r>
                </w:p>
              </w:tc>
            </w:tr>
            <w:tr w14:paraId="0174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 w:type="dxa"/>
                  <w:tcBorders>
                    <w:tl2br w:val="nil"/>
                    <w:tr2bl w:val="nil"/>
                  </w:tcBorders>
                  <w:vAlign w:val="center"/>
                </w:tcPr>
                <w:p w14:paraId="6946E7C9">
                  <w:pPr>
                    <w:pStyle w:val="51"/>
                    <w:rPr>
                      <w:color w:val="auto"/>
                    </w:rPr>
                  </w:pPr>
                  <w:r>
                    <w:rPr>
                      <w:rFonts w:hint="eastAsia"/>
                      <w:color w:val="auto"/>
                    </w:rPr>
                    <w:t>9</w:t>
                  </w:r>
                </w:p>
              </w:tc>
              <w:tc>
                <w:tcPr>
                  <w:tcW w:w="2235" w:type="dxa"/>
                  <w:tcBorders>
                    <w:tl2br w:val="nil"/>
                    <w:tr2bl w:val="nil"/>
                  </w:tcBorders>
                  <w:vAlign w:val="center"/>
                </w:tcPr>
                <w:p w14:paraId="76E35895">
                  <w:pPr>
                    <w:pStyle w:val="51"/>
                    <w:rPr>
                      <w:rFonts w:hint="default" w:eastAsia="宋体"/>
                      <w:color w:val="auto"/>
                      <w:lang w:val="en-US" w:eastAsia="zh-CN"/>
                    </w:rPr>
                  </w:pPr>
                  <w:r>
                    <w:rPr>
                      <w:rFonts w:hint="eastAsia"/>
                      <w:color w:val="auto"/>
                      <w:lang w:val="en-US" w:eastAsia="zh-CN"/>
                    </w:rPr>
                    <w:t>高压静电油烟净化器</w:t>
                  </w:r>
                </w:p>
              </w:tc>
              <w:tc>
                <w:tcPr>
                  <w:tcW w:w="1965" w:type="dxa"/>
                  <w:tcBorders>
                    <w:tl2br w:val="nil"/>
                    <w:tr2bl w:val="nil"/>
                  </w:tcBorders>
                  <w:vAlign w:val="center"/>
                </w:tcPr>
                <w:p w14:paraId="724CFDB5">
                  <w:pPr>
                    <w:pStyle w:val="51"/>
                    <w:rPr>
                      <w:color w:val="auto"/>
                    </w:rPr>
                  </w:pPr>
                  <w:r>
                    <w:rPr>
                      <w:rFonts w:hint="eastAsia"/>
                      <w:color w:val="auto"/>
                    </w:rPr>
                    <w:t>/</w:t>
                  </w:r>
                </w:p>
              </w:tc>
              <w:tc>
                <w:tcPr>
                  <w:tcW w:w="2132" w:type="dxa"/>
                  <w:tcBorders>
                    <w:tl2br w:val="nil"/>
                    <w:tr2bl w:val="nil"/>
                  </w:tcBorders>
                  <w:vAlign w:val="center"/>
                </w:tcPr>
                <w:p w14:paraId="324205C8">
                  <w:pPr>
                    <w:pStyle w:val="51"/>
                    <w:rPr>
                      <w:color w:val="auto"/>
                    </w:rPr>
                  </w:pPr>
                  <w:r>
                    <w:rPr>
                      <w:rFonts w:hint="eastAsia"/>
                      <w:color w:val="auto"/>
                    </w:rPr>
                    <w:t>4</w:t>
                  </w:r>
                </w:p>
              </w:tc>
              <w:tc>
                <w:tcPr>
                  <w:tcW w:w="1416" w:type="dxa"/>
                  <w:tcBorders>
                    <w:tl2br w:val="nil"/>
                    <w:tr2bl w:val="nil"/>
                  </w:tcBorders>
                  <w:vAlign w:val="center"/>
                </w:tcPr>
                <w:p w14:paraId="09631FE3">
                  <w:pPr>
                    <w:pStyle w:val="51"/>
                    <w:rPr>
                      <w:color w:val="auto"/>
                    </w:rPr>
                  </w:pPr>
                  <w:r>
                    <w:rPr>
                      <w:rFonts w:hint="eastAsia"/>
                      <w:color w:val="auto"/>
                    </w:rPr>
                    <w:t>/</w:t>
                  </w:r>
                </w:p>
              </w:tc>
            </w:tr>
          </w:tbl>
          <w:p w14:paraId="3BB7D8CF">
            <w:pPr>
              <w:pStyle w:val="47"/>
              <w:ind w:firstLine="482"/>
              <w:rPr>
                <w:b/>
                <w:bCs/>
                <w:color w:val="auto"/>
              </w:rPr>
            </w:pPr>
            <w:r>
              <w:rPr>
                <w:rFonts w:hint="eastAsia"/>
                <w:b/>
                <w:bCs/>
                <w:color w:val="auto"/>
              </w:rPr>
              <w:t>5</w:t>
            </w:r>
            <w:r>
              <w:rPr>
                <w:b/>
                <w:bCs/>
                <w:color w:val="auto"/>
              </w:rPr>
              <w:t>、主要原辅材料</w:t>
            </w:r>
          </w:p>
          <w:p w14:paraId="6825F90E">
            <w:pPr>
              <w:pStyle w:val="47"/>
              <w:ind w:firstLine="480"/>
              <w:rPr>
                <w:color w:val="auto"/>
              </w:rPr>
            </w:pPr>
            <w:r>
              <w:rPr>
                <w:color w:val="auto"/>
              </w:rPr>
              <w:t>本项目主要原辅材料用量情况见</w:t>
            </w:r>
            <w:r>
              <w:rPr>
                <w:color w:val="auto"/>
              </w:rPr>
              <w:fldChar w:fldCharType="begin"/>
            </w:r>
            <w:r>
              <w:rPr>
                <w:color w:val="auto"/>
              </w:rPr>
              <w:instrText xml:space="preserve"> REF _Ref26059 \h </w:instrText>
            </w:r>
            <w:r>
              <w:rPr>
                <w:color w:val="auto"/>
              </w:rPr>
              <w:fldChar w:fldCharType="separate"/>
            </w:r>
            <w:r>
              <w:rPr>
                <w:color w:val="auto"/>
              </w:rPr>
              <w:t>表2- 6</w:t>
            </w:r>
            <w:r>
              <w:rPr>
                <w:color w:val="auto"/>
              </w:rPr>
              <w:fldChar w:fldCharType="end"/>
            </w:r>
            <w:r>
              <w:rPr>
                <w:color w:val="auto"/>
              </w:rPr>
              <w:t>，原辅材料理化性质详见</w:t>
            </w:r>
            <w:r>
              <w:rPr>
                <w:color w:val="auto"/>
              </w:rPr>
              <w:fldChar w:fldCharType="begin"/>
            </w:r>
            <w:r>
              <w:rPr>
                <w:color w:val="auto"/>
              </w:rPr>
              <w:instrText xml:space="preserve"> REF _Ref4103 \h </w:instrText>
            </w:r>
            <w:r>
              <w:rPr>
                <w:color w:val="auto"/>
              </w:rPr>
              <w:fldChar w:fldCharType="separate"/>
            </w:r>
            <w:r>
              <w:rPr>
                <w:color w:val="auto"/>
              </w:rPr>
              <w:t>表2- 7</w:t>
            </w:r>
            <w:r>
              <w:rPr>
                <w:color w:val="auto"/>
              </w:rPr>
              <w:fldChar w:fldCharType="end"/>
            </w:r>
            <w:r>
              <w:rPr>
                <w:color w:val="auto"/>
              </w:rPr>
              <w:t>。项目原辅料均为外购。</w:t>
            </w:r>
          </w:p>
          <w:p w14:paraId="749CA15E">
            <w:pPr>
              <w:pStyle w:val="7"/>
              <w:rPr>
                <w:color w:val="auto"/>
              </w:rPr>
            </w:pPr>
            <w:bookmarkStart w:id="28" w:name="_Ref26059"/>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6</w:t>
            </w:r>
            <w:r>
              <w:rPr>
                <w:color w:val="auto"/>
              </w:rPr>
              <w:fldChar w:fldCharType="end"/>
            </w:r>
            <w:bookmarkEnd w:id="28"/>
            <w:r>
              <w:rPr>
                <w:color w:val="auto"/>
              </w:rPr>
              <w:t xml:space="preserve"> 项目主要原辅材料用量情况一览表</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2004"/>
              <w:gridCol w:w="1642"/>
              <w:gridCol w:w="1620"/>
              <w:gridCol w:w="2608"/>
            </w:tblGrid>
            <w:tr w14:paraId="2B26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Header/>
                <w:jc w:val="center"/>
              </w:trPr>
              <w:tc>
                <w:tcPr>
                  <w:tcW w:w="558" w:type="dxa"/>
                  <w:tcBorders>
                    <w:tl2br w:val="nil"/>
                    <w:tr2bl w:val="nil"/>
                  </w:tcBorders>
                  <w:tcMar>
                    <w:top w:w="0" w:type="dxa"/>
                    <w:left w:w="57" w:type="dxa"/>
                    <w:bottom w:w="0" w:type="dxa"/>
                    <w:right w:w="57" w:type="dxa"/>
                  </w:tcMar>
                  <w:vAlign w:val="center"/>
                </w:tcPr>
                <w:p w14:paraId="72AE2E3E">
                  <w:pPr>
                    <w:pStyle w:val="49"/>
                    <w:rPr>
                      <w:color w:val="auto"/>
                    </w:rPr>
                  </w:pPr>
                  <w:bookmarkStart w:id="29" w:name="OLE_LINK9" w:colFirst="0" w:colLast="4"/>
                  <w:bookmarkStart w:id="30" w:name="_Hlk484789338"/>
                  <w:r>
                    <w:rPr>
                      <w:color w:val="auto"/>
                    </w:rPr>
                    <w:t>序号</w:t>
                  </w:r>
                </w:p>
              </w:tc>
              <w:tc>
                <w:tcPr>
                  <w:tcW w:w="2004" w:type="dxa"/>
                  <w:tcBorders>
                    <w:tl2br w:val="nil"/>
                    <w:tr2bl w:val="nil"/>
                  </w:tcBorders>
                  <w:tcMar>
                    <w:top w:w="0" w:type="dxa"/>
                    <w:left w:w="57" w:type="dxa"/>
                    <w:bottom w:w="0" w:type="dxa"/>
                    <w:right w:w="57" w:type="dxa"/>
                  </w:tcMar>
                  <w:vAlign w:val="center"/>
                </w:tcPr>
                <w:p w14:paraId="227208BC">
                  <w:pPr>
                    <w:pStyle w:val="49"/>
                    <w:rPr>
                      <w:color w:val="auto"/>
                    </w:rPr>
                  </w:pPr>
                  <w:r>
                    <w:rPr>
                      <w:color w:val="auto"/>
                    </w:rPr>
                    <w:t>主要原辅料</w:t>
                  </w:r>
                </w:p>
              </w:tc>
              <w:tc>
                <w:tcPr>
                  <w:tcW w:w="1642" w:type="dxa"/>
                  <w:tcBorders>
                    <w:tl2br w:val="nil"/>
                    <w:tr2bl w:val="nil"/>
                  </w:tcBorders>
                  <w:tcMar>
                    <w:top w:w="0" w:type="dxa"/>
                    <w:left w:w="57" w:type="dxa"/>
                    <w:bottom w:w="0" w:type="dxa"/>
                    <w:right w:w="57" w:type="dxa"/>
                  </w:tcMar>
                  <w:vAlign w:val="center"/>
                </w:tcPr>
                <w:p w14:paraId="6D94FFCE">
                  <w:pPr>
                    <w:pStyle w:val="49"/>
                    <w:rPr>
                      <w:color w:val="auto"/>
                    </w:rPr>
                  </w:pPr>
                  <w:r>
                    <w:rPr>
                      <w:color w:val="auto"/>
                    </w:rPr>
                    <w:t>用量（t/a）</w:t>
                  </w:r>
                </w:p>
              </w:tc>
              <w:tc>
                <w:tcPr>
                  <w:tcW w:w="1620" w:type="dxa"/>
                  <w:tcBorders>
                    <w:tl2br w:val="nil"/>
                    <w:tr2bl w:val="nil"/>
                  </w:tcBorders>
                  <w:tcMar>
                    <w:top w:w="0" w:type="dxa"/>
                    <w:left w:w="57" w:type="dxa"/>
                    <w:bottom w:w="0" w:type="dxa"/>
                    <w:right w:w="57" w:type="dxa"/>
                  </w:tcMar>
                  <w:vAlign w:val="center"/>
                </w:tcPr>
                <w:p w14:paraId="39E163FD">
                  <w:pPr>
                    <w:pStyle w:val="49"/>
                    <w:rPr>
                      <w:color w:val="auto"/>
                    </w:rPr>
                  </w:pPr>
                  <w:r>
                    <w:rPr>
                      <w:color w:val="auto"/>
                    </w:rPr>
                    <w:t>暂存量（t）</w:t>
                  </w:r>
                </w:p>
              </w:tc>
              <w:tc>
                <w:tcPr>
                  <w:tcW w:w="2608" w:type="dxa"/>
                  <w:tcBorders>
                    <w:tl2br w:val="nil"/>
                    <w:tr2bl w:val="nil"/>
                  </w:tcBorders>
                  <w:tcMar>
                    <w:top w:w="0" w:type="dxa"/>
                    <w:left w:w="57" w:type="dxa"/>
                    <w:bottom w:w="0" w:type="dxa"/>
                    <w:right w:w="57" w:type="dxa"/>
                  </w:tcMar>
                  <w:vAlign w:val="center"/>
                </w:tcPr>
                <w:p w14:paraId="39EB1E49">
                  <w:pPr>
                    <w:pStyle w:val="49"/>
                    <w:rPr>
                      <w:color w:val="auto"/>
                    </w:rPr>
                  </w:pPr>
                  <w:r>
                    <w:rPr>
                      <w:color w:val="auto"/>
                    </w:rPr>
                    <w:t>备注</w:t>
                  </w:r>
                </w:p>
              </w:tc>
            </w:tr>
            <w:tr w14:paraId="5007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58" w:type="dxa"/>
                  <w:tcBorders>
                    <w:tl2br w:val="nil"/>
                    <w:tr2bl w:val="nil"/>
                  </w:tcBorders>
                  <w:tcMar>
                    <w:top w:w="0" w:type="dxa"/>
                    <w:left w:w="57" w:type="dxa"/>
                    <w:bottom w:w="0" w:type="dxa"/>
                    <w:right w:w="57" w:type="dxa"/>
                  </w:tcMar>
                  <w:vAlign w:val="center"/>
                </w:tcPr>
                <w:p w14:paraId="36BDBFD5">
                  <w:pPr>
                    <w:pStyle w:val="51"/>
                    <w:rPr>
                      <w:color w:val="auto"/>
                    </w:rPr>
                  </w:pPr>
                  <w:r>
                    <w:rPr>
                      <w:color w:val="auto"/>
                    </w:rPr>
                    <w:t>1</w:t>
                  </w:r>
                </w:p>
              </w:tc>
              <w:tc>
                <w:tcPr>
                  <w:tcW w:w="2004" w:type="dxa"/>
                  <w:tcBorders>
                    <w:tl2br w:val="nil"/>
                    <w:tr2bl w:val="nil"/>
                  </w:tcBorders>
                  <w:tcMar>
                    <w:top w:w="0" w:type="dxa"/>
                    <w:left w:w="57" w:type="dxa"/>
                    <w:bottom w:w="0" w:type="dxa"/>
                    <w:right w:w="57" w:type="dxa"/>
                  </w:tcMar>
                  <w:vAlign w:val="center"/>
                </w:tcPr>
                <w:p w14:paraId="002C07B0">
                  <w:pPr>
                    <w:pStyle w:val="51"/>
                    <w:rPr>
                      <w:color w:val="auto"/>
                    </w:rPr>
                  </w:pPr>
                  <w:r>
                    <w:rPr>
                      <w:rFonts w:hint="eastAsia"/>
                      <w:color w:val="auto"/>
                    </w:rPr>
                    <w:t>POY丝</w:t>
                  </w:r>
                </w:p>
              </w:tc>
              <w:tc>
                <w:tcPr>
                  <w:tcW w:w="1642" w:type="dxa"/>
                  <w:tcBorders>
                    <w:tl2br w:val="nil"/>
                    <w:tr2bl w:val="nil"/>
                  </w:tcBorders>
                  <w:tcMar>
                    <w:top w:w="0" w:type="dxa"/>
                    <w:left w:w="57" w:type="dxa"/>
                    <w:bottom w:w="0" w:type="dxa"/>
                    <w:right w:w="57" w:type="dxa"/>
                  </w:tcMar>
                  <w:vAlign w:val="center"/>
                </w:tcPr>
                <w:p w14:paraId="477AC546">
                  <w:pPr>
                    <w:pStyle w:val="51"/>
                    <w:rPr>
                      <w:color w:val="auto"/>
                    </w:rPr>
                  </w:pPr>
                  <w:r>
                    <w:rPr>
                      <w:rFonts w:hint="eastAsia"/>
                      <w:color w:val="auto"/>
                    </w:rPr>
                    <w:t>20000</w:t>
                  </w:r>
                </w:p>
              </w:tc>
              <w:tc>
                <w:tcPr>
                  <w:tcW w:w="1620" w:type="dxa"/>
                  <w:tcBorders>
                    <w:tl2br w:val="nil"/>
                    <w:tr2bl w:val="nil"/>
                  </w:tcBorders>
                  <w:tcMar>
                    <w:top w:w="0" w:type="dxa"/>
                    <w:left w:w="57" w:type="dxa"/>
                    <w:bottom w:w="0" w:type="dxa"/>
                    <w:right w:w="57" w:type="dxa"/>
                  </w:tcMar>
                  <w:vAlign w:val="center"/>
                </w:tcPr>
                <w:p w14:paraId="6D0356A8">
                  <w:pPr>
                    <w:pStyle w:val="51"/>
                    <w:rPr>
                      <w:color w:val="auto"/>
                    </w:rPr>
                  </w:pPr>
                  <w:r>
                    <w:rPr>
                      <w:rFonts w:hint="eastAsia"/>
                      <w:color w:val="auto"/>
                    </w:rPr>
                    <w:t>2000</w:t>
                  </w:r>
                </w:p>
              </w:tc>
              <w:tc>
                <w:tcPr>
                  <w:tcW w:w="2608" w:type="dxa"/>
                  <w:tcBorders>
                    <w:tl2br w:val="nil"/>
                    <w:tr2bl w:val="nil"/>
                  </w:tcBorders>
                  <w:tcMar>
                    <w:top w:w="0" w:type="dxa"/>
                    <w:left w:w="57" w:type="dxa"/>
                    <w:bottom w:w="0" w:type="dxa"/>
                    <w:right w:w="57" w:type="dxa"/>
                  </w:tcMar>
                  <w:vAlign w:val="center"/>
                </w:tcPr>
                <w:p w14:paraId="4A8712B8">
                  <w:pPr>
                    <w:pStyle w:val="51"/>
                    <w:rPr>
                      <w:color w:val="auto"/>
                    </w:rPr>
                  </w:pPr>
                  <w:r>
                    <w:rPr>
                      <w:rFonts w:hint="eastAsia"/>
                      <w:color w:val="auto"/>
                    </w:rPr>
                    <w:t>含油率为0.3%~0.4%</w:t>
                  </w:r>
                </w:p>
              </w:tc>
            </w:tr>
            <w:tr w14:paraId="240B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58" w:type="dxa"/>
                  <w:tcBorders>
                    <w:tl2br w:val="nil"/>
                    <w:tr2bl w:val="nil"/>
                  </w:tcBorders>
                  <w:tcMar>
                    <w:top w:w="0" w:type="dxa"/>
                    <w:left w:w="57" w:type="dxa"/>
                    <w:bottom w:w="0" w:type="dxa"/>
                    <w:right w:w="57" w:type="dxa"/>
                  </w:tcMar>
                  <w:vAlign w:val="center"/>
                </w:tcPr>
                <w:p w14:paraId="0F63F07F">
                  <w:pPr>
                    <w:pStyle w:val="51"/>
                    <w:rPr>
                      <w:color w:val="auto"/>
                    </w:rPr>
                  </w:pPr>
                  <w:r>
                    <w:rPr>
                      <w:color w:val="auto"/>
                    </w:rPr>
                    <w:t>2</w:t>
                  </w:r>
                </w:p>
              </w:tc>
              <w:tc>
                <w:tcPr>
                  <w:tcW w:w="2004" w:type="dxa"/>
                  <w:tcBorders>
                    <w:tl2br w:val="nil"/>
                    <w:tr2bl w:val="nil"/>
                  </w:tcBorders>
                  <w:tcMar>
                    <w:top w:w="0" w:type="dxa"/>
                    <w:left w:w="57" w:type="dxa"/>
                    <w:bottom w:w="0" w:type="dxa"/>
                    <w:right w:w="57" w:type="dxa"/>
                  </w:tcMar>
                  <w:vAlign w:val="center"/>
                </w:tcPr>
                <w:p w14:paraId="76C3DF61">
                  <w:pPr>
                    <w:pStyle w:val="51"/>
                    <w:rPr>
                      <w:color w:val="auto"/>
                    </w:rPr>
                  </w:pPr>
                  <w:r>
                    <w:rPr>
                      <w:rFonts w:hint="eastAsia"/>
                      <w:color w:val="auto"/>
                    </w:rPr>
                    <w:t>加弹油剂</w:t>
                  </w:r>
                </w:p>
              </w:tc>
              <w:tc>
                <w:tcPr>
                  <w:tcW w:w="1642" w:type="dxa"/>
                  <w:tcBorders>
                    <w:tl2br w:val="nil"/>
                    <w:tr2bl w:val="nil"/>
                  </w:tcBorders>
                  <w:tcMar>
                    <w:top w:w="0" w:type="dxa"/>
                    <w:left w:w="57" w:type="dxa"/>
                    <w:bottom w:w="0" w:type="dxa"/>
                    <w:right w:w="57" w:type="dxa"/>
                  </w:tcMar>
                  <w:vAlign w:val="center"/>
                </w:tcPr>
                <w:p w14:paraId="40480F53">
                  <w:pPr>
                    <w:pStyle w:val="51"/>
                    <w:rPr>
                      <w:color w:val="auto"/>
                    </w:rPr>
                  </w:pPr>
                  <w:r>
                    <w:rPr>
                      <w:rFonts w:hint="eastAsia"/>
                      <w:color w:val="auto"/>
                    </w:rPr>
                    <w:t>40</w:t>
                  </w:r>
                </w:p>
              </w:tc>
              <w:tc>
                <w:tcPr>
                  <w:tcW w:w="1620" w:type="dxa"/>
                  <w:tcBorders>
                    <w:tl2br w:val="nil"/>
                    <w:tr2bl w:val="nil"/>
                  </w:tcBorders>
                  <w:tcMar>
                    <w:top w:w="0" w:type="dxa"/>
                    <w:left w:w="57" w:type="dxa"/>
                    <w:bottom w:w="0" w:type="dxa"/>
                    <w:right w:w="57" w:type="dxa"/>
                  </w:tcMar>
                  <w:vAlign w:val="center"/>
                </w:tcPr>
                <w:p w14:paraId="46F24331">
                  <w:pPr>
                    <w:pStyle w:val="51"/>
                    <w:rPr>
                      <w:color w:val="auto"/>
                    </w:rPr>
                  </w:pPr>
                  <w:r>
                    <w:rPr>
                      <w:rFonts w:hint="eastAsia"/>
                      <w:color w:val="auto"/>
                    </w:rPr>
                    <w:t>2</w:t>
                  </w:r>
                </w:p>
              </w:tc>
              <w:tc>
                <w:tcPr>
                  <w:tcW w:w="2608" w:type="dxa"/>
                  <w:tcBorders>
                    <w:tl2br w:val="nil"/>
                    <w:tr2bl w:val="nil"/>
                  </w:tcBorders>
                  <w:tcMar>
                    <w:top w:w="0" w:type="dxa"/>
                    <w:left w:w="57" w:type="dxa"/>
                    <w:bottom w:w="0" w:type="dxa"/>
                    <w:right w:w="57" w:type="dxa"/>
                  </w:tcMar>
                  <w:vAlign w:val="center"/>
                </w:tcPr>
                <w:p w14:paraId="5A6031B4">
                  <w:pPr>
                    <w:pStyle w:val="51"/>
                    <w:rPr>
                      <w:color w:val="auto"/>
                    </w:rPr>
                  </w:pPr>
                  <w:r>
                    <w:rPr>
                      <w:rFonts w:hint="eastAsia"/>
                      <w:color w:val="auto"/>
                    </w:rPr>
                    <w:t>/</w:t>
                  </w:r>
                </w:p>
              </w:tc>
            </w:tr>
            <w:tr w14:paraId="3847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58" w:type="dxa"/>
                  <w:tcBorders>
                    <w:tl2br w:val="nil"/>
                    <w:tr2bl w:val="nil"/>
                  </w:tcBorders>
                  <w:tcMar>
                    <w:top w:w="0" w:type="dxa"/>
                    <w:left w:w="57" w:type="dxa"/>
                    <w:bottom w:w="0" w:type="dxa"/>
                    <w:right w:w="57" w:type="dxa"/>
                  </w:tcMar>
                  <w:vAlign w:val="center"/>
                </w:tcPr>
                <w:p w14:paraId="48280684">
                  <w:pPr>
                    <w:pStyle w:val="51"/>
                    <w:rPr>
                      <w:color w:val="auto"/>
                    </w:rPr>
                  </w:pPr>
                  <w:r>
                    <w:rPr>
                      <w:color w:val="auto"/>
                    </w:rPr>
                    <w:t>3</w:t>
                  </w:r>
                </w:p>
              </w:tc>
              <w:tc>
                <w:tcPr>
                  <w:tcW w:w="2004" w:type="dxa"/>
                  <w:tcBorders>
                    <w:tl2br w:val="nil"/>
                    <w:tr2bl w:val="nil"/>
                  </w:tcBorders>
                  <w:tcMar>
                    <w:top w:w="0" w:type="dxa"/>
                    <w:left w:w="57" w:type="dxa"/>
                    <w:bottom w:w="0" w:type="dxa"/>
                    <w:right w:w="57" w:type="dxa"/>
                  </w:tcMar>
                  <w:vAlign w:val="center"/>
                </w:tcPr>
                <w:p w14:paraId="2641401F">
                  <w:pPr>
                    <w:pStyle w:val="51"/>
                    <w:rPr>
                      <w:color w:val="auto"/>
                    </w:rPr>
                  </w:pPr>
                  <w:r>
                    <w:rPr>
                      <w:rFonts w:hint="eastAsia"/>
                      <w:color w:val="auto"/>
                    </w:rPr>
                    <w:t>PAC</w:t>
                  </w:r>
                </w:p>
              </w:tc>
              <w:tc>
                <w:tcPr>
                  <w:tcW w:w="1642" w:type="dxa"/>
                  <w:tcBorders>
                    <w:tl2br w:val="nil"/>
                    <w:tr2bl w:val="nil"/>
                  </w:tcBorders>
                  <w:tcMar>
                    <w:top w:w="0" w:type="dxa"/>
                    <w:left w:w="57" w:type="dxa"/>
                    <w:bottom w:w="0" w:type="dxa"/>
                    <w:right w:w="57" w:type="dxa"/>
                  </w:tcMar>
                  <w:vAlign w:val="center"/>
                </w:tcPr>
                <w:p w14:paraId="4BD6100A">
                  <w:pPr>
                    <w:pStyle w:val="51"/>
                    <w:rPr>
                      <w:rFonts w:hint="default" w:eastAsia="宋体"/>
                      <w:color w:val="auto"/>
                      <w:lang w:val="en-US" w:eastAsia="zh-CN"/>
                    </w:rPr>
                  </w:pPr>
                  <w:r>
                    <w:rPr>
                      <w:rFonts w:hint="eastAsia"/>
                      <w:color w:val="auto"/>
                      <w:lang w:val="en-US" w:eastAsia="zh-CN"/>
                    </w:rPr>
                    <w:t>20</w:t>
                  </w:r>
                </w:p>
              </w:tc>
              <w:tc>
                <w:tcPr>
                  <w:tcW w:w="1620" w:type="dxa"/>
                  <w:tcBorders>
                    <w:tl2br w:val="nil"/>
                    <w:tr2bl w:val="nil"/>
                  </w:tcBorders>
                  <w:tcMar>
                    <w:top w:w="0" w:type="dxa"/>
                    <w:left w:w="57" w:type="dxa"/>
                    <w:bottom w:w="0" w:type="dxa"/>
                    <w:right w:w="57" w:type="dxa"/>
                  </w:tcMar>
                  <w:vAlign w:val="center"/>
                </w:tcPr>
                <w:p w14:paraId="356F8696">
                  <w:pPr>
                    <w:pStyle w:val="51"/>
                    <w:rPr>
                      <w:color w:val="auto"/>
                    </w:rPr>
                  </w:pPr>
                  <w:r>
                    <w:rPr>
                      <w:rFonts w:hint="eastAsia"/>
                      <w:color w:val="auto"/>
                    </w:rPr>
                    <w:t>2</w:t>
                  </w:r>
                </w:p>
              </w:tc>
              <w:tc>
                <w:tcPr>
                  <w:tcW w:w="2608" w:type="dxa"/>
                  <w:tcBorders>
                    <w:tl2br w:val="nil"/>
                    <w:tr2bl w:val="nil"/>
                  </w:tcBorders>
                  <w:tcMar>
                    <w:top w:w="0" w:type="dxa"/>
                    <w:left w:w="57" w:type="dxa"/>
                    <w:bottom w:w="0" w:type="dxa"/>
                    <w:right w:w="57" w:type="dxa"/>
                  </w:tcMar>
                  <w:vAlign w:val="center"/>
                </w:tcPr>
                <w:p w14:paraId="782B9919">
                  <w:pPr>
                    <w:pStyle w:val="51"/>
                    <w:rPr>
                      <w:color w:val="auto"/>
                    </w:rPr>
                  </w:pPr>
                  <w:r>
                    <w:rPr>
                      <w:rFonts w:hint="eastAsia"/>
                      <w:color w:val="auto"/>
                    </w:rPr>
                    <w:t>/</w:t>
                  </w:r>
                </w:p>
              </w:tc>
            </w:tr>
            <w:tr w14:paraId="14FD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58" w:type="dxa"/>
                  <w:tcBorders>
                    <w:tl2br w:val="nil"/>
                    <w:tr2bl w:val="nil"/>
                  </w:tcBorders>
                  <w:tcMar>
                    <w:top w:w="0" w:type="dxa"/>
                    <w:left w:w="57" w:type="dxa"/>
                    <w:bottom w:w="0" w:type="dxa"/>
                    <w:right w:w="57" w:type="dxa"/>
                  </w:tcMar>
                  <w:vAlign w:val="center"/>
                </w:tcPr>
                <w:p w14:paraId="220C6270">
                  <w:pPr>
                    <w:pStyle w:val="51"/>
                    <w:rPr>
                      <w:color w:val="auto"/>
                    </w:rPr>
                  </w:pPr>
                  <w:r>
                    <w:rPr>
                      <w:color w:val="auto"/>
                    </w:rPr>
                    <w:t>4</w:t>
                  </w:r>
                </w:p>
              </w:tc>
              <w:tc>
                <w:tcPr>
                  <w:tcW w:w="2004" w:type="dxa"/>
                  <w:tcBorders>
                    <w:tl2br w:val="nil"/>
                    <w:tr2bl w:val="nil"/>
                  </w:tcBorders>
                  <w:tcMar>
                    <w:top w:w="0" w:type="dxa"/>
                    <w:left w:w="57" w:type="dxa"/>
                    <w:bottom w:w="0" w:type="dxa"/>
                    <w:right w:w="57" w:type="dxa"/>
                  </w:tcMar>
                  <w:vAlign w:val="center"/>
                </w:tcPr>
                <w:p w14:paraId="4B946AA5">
                  <w:pPr>
                    <w:pStyle w:val="51"/>
                    <w:rPr>
                      <w:color w:val="auto"/>
                    </w:rPr>
                  </w:pPr>
                  <w:r>
                    <w:rPr>
                      <w:rFonts w:hint="eastAsia"/>
                      <w:color w:val="auto"/>
                    </w:rPr>
                    <w:t>PAM</w:t>
                  </w:r>
                </w:p>
              </w:tc>
              <w:tc>
                <w:tcPr>
                  <w:tcW w:w="1642" w:type="dxa"/>
                  <w:tcBorders>
                    <w:tl2br w:val="nil"/>
                    <w:tr2bl w:val="nil"/>
                  </w:tcBorders>
                  <w:tcMar>
                    <w:top w:w="0" w:type="dxa"/>
                    <w:left w:w="57" w:type="dxa"/>
                    <w:bottom w:w="0" w:type="dxa"/>
                    <w:right w:w="57" w:type="dxa"/>
                  </w:tcMar>
                  <w:vAlign w:val="center"/>
                </w:tcPr>
                <w:p w14:paraId="634F803A">
                  <w:pPr>
                    <w:pStyle w:val="51"/>
                    <w:rPr>
                      <w:rFonts w:hint="default" w:eastAsia="宋体"/>
                      <w:color w:val="auto"/>
                      <w:lang w:val="en-US" w:eastAsia="zh-CN"/>
                    </w:rPr>
                  </w:pPr>
                  <w:r>
                    <w:rPr>
                      <w:rFonts w:hint="eastAsia"/>
                      <w:color w:val="auto"/>
                      <w:lang w:val="en-US" w:eastAsia="zh-CN"/>
                    </w:rPr>
                    <w:t>4</w:t>
                  </w:r>
                </w:p>
              </w:tc>
              <w:tc>
                <w:tcPr>
                  <w:tcW w:w="1620" w:type="dxa"/>
                  <w:tcBorders>
                    <w:tl2br w:val="nil"/>
                    <w:tr2bl w:val="nil"/>
                  </w:tcBorders>
                  <w:tcMar>
                    <w:top w:w="0" w:type="dxa"/>
                    <w:left w:w="57" w:type="dxa"/>
                    <w:bottom w:w="0" w:type="dxa"/>
                    <w:right w:w="57" w:type="dxa"/>
                  </w:tcMar>
                  <w:vAlign w:val="center"/>
                </w:tcPr>
                <w:p w14:paraId="720B3437">
                  <w:pPr>
                    <w:pStyle w:val="51"/>
                    <w:rPr>
                      <w:color w:val="auto"/>
                    </w:rPr>
                  </w:pPr>
                  <w:r>
                    <w:rPr>
                      <w:rFonts w:hint="eastAsia"/>
                      <w:color w:val="auto"/>
                    </w:rPr>
                    <w:t>0.1</w:t>
                  </w:r>
                </w:p>
              </w:tc>
              <w:tc>
                <w:tcPr>
                  <w:tcW w:w="2608" w:type="dxa"/>
                  <w:tcBorders>
                    <w:tl2br w:val="nil"/>
                    <w:tr2bl w:val="nil"/>
                  </w:tcBorders>
                  <w:tcMar>
                    <w:top w:w="0" w:type="dxa"/>
                    <w:left w:w="57" w:type="dxa"/>
                    <w:bottom w:w="0" w:type="dxa"/>
                    <w:right w:w="57" w:type="dxa"/>
                  </w:tcMar>
                  <w:vAlign w:val="center"/>
                </w:tcPr>
                <w:p w14:paraId="029C36EE">
                  <w:pPr>
                    <w:pStyle w:val="51"/>
                    <w:rPr>
                      <w:color w:val="auto"/>
                    </w:rPr>
                  </w:pPr>
                  <w:r>
                    <w:rPr>
                      <w:rFonts w:hint="eastAsia"/>
                      <w:color w:val="auto"/>
                    </w:rPr>
                    <w:t>/</w:t>
                  </w:r>
                </w:p>
              </w:tc>
            </w:tr>
            <w:tr w14:paraId="4B1B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58" w:type="dxa"/>
                  <w:tcBorders>
                    <w:tl2br w:val="nil"/>
                    <w:tr2bl w:val="nil"/>
                  </w:tcBorders>
                  <w:tcMar>
                    <w:top w:w="0" w:type="dxa"/>
                    <w:left w:w="57" w:type="dxa"/>
                    <w:bottom w:w="0" w:type="dxa"/>
                    <w:right w:w="57" w:type="dxa"/>
                  </w:tcMar>
                  <w:vAlign w:val="center"/>
                </w:tcPr>
                <w:p w14:paraId="2521EFCF">
                  <w:pPr>
                    <w:pStyle w:val="51"/>
                    <w:rPr>
                      <w:rFonts w:hint="eastAsia" w:eastAsia="宋体"/>
                      <w:color w:val="auto"/>
                      <w:lang w:val="en-US" w:eastAsia="zh-CN"/>
                    </w:rPr>
                  </w:pPr>
                  <w:r>
                    <w:rPr>
                      <w:rFonts w:hint="eastAsia"/>
                      <w:color w:val="auto"/>
                      <w:lang w:val="en-US" w:eastAsia="zh-CN"/>
                    </w:rPr>
                    <w:t>5</w:t>
                  </w:r>
                </w:p>
              </w:tc>
              <w:tc>
                <w:tcPr>
                  <w:tcW w:w="2004" w:type="dxa"/>
                  <w:tcBorders>
                    <w:tl2br w:val="nil"/>
                    <w:tr2bl w:val="nil"/>
                  </w:tcBorders>
                  <w:tcMar>
                    <w:top w:w="0" w:type="dxa"/>
                    <w:left w:w="57" w:type="dxa"/>
                    <w:bottom w:w="0" w:type="dxa"/>
                    <w:right w:w="57" w:type="dxa"/>
                  </w:tcMar>
                  <w:vAlign w:val="center"/>
                </w:tcPr>
                <w:p w14:paraId="13790602">
                  <w:pPr>
                    <w:pStyle w:val="51"/>
                    <w:rPr>
                      <w:rFonts w:hint="default" w:eastAsia="宋体"/>
                      <w:color w:val="auto"/>
                      <w:lang w:val="en-US" w:eastAsia="zh-CN"/>
                    </w:rPr>
                  </w:pPr>
                  <w:r>
                    <w:rPr>
                      <w:rFonts w:hint="eastAsia"/>
                      <w:color w:val="auto"/>
                      <w:lang w:val="en-US" w:eastAsia="zh-CN"/>
                    </w:rPr>
                    <w:t>PFS</w:t>
                  </w:r>
                </w:p>
              </w:tc>
              <w:tc>
                <w:tcPr>
                  <w:tcW w:w="1642" w:type="dxa"/>
                  <w:tcBorders>
                    <w:tl2br w:val="nil"/>
                    <w:tr2bl w:val="nil"/>
                  </w:tcBorders>
                  <w:tcMar>
                    <w:top w:w="0" w:type="dxa"/>
                    <w:left w:w="57" w:type="dxa"/>
                    <w:bottom w:w="0" w:type="dxa"/>
                    <w:right w:w="57" w:type="dxa"/>
                  </w:tcMar>
                  <w:vAlign w:val="center"/>
                </w:tcPr>
                <w:p w14:paraId="029B44FB">
                  <w:pPr>
                    <w:pStyle w:val="51"/>
                    <w:rPr>
                      <w:rFonts w:hint="default" w:eastAsia="宋体"/>
                      <w:color w:val="auto"/>
                      <w:lang w:val="en-US" w:eastAsia="zh-CN"/>
                    </w:rPr>
                  </w:pPr>
                  <w:r>
                    <w:rPr>
                      <w:rFonts w:hint="eastAsia"/>
                      <w:color w:val="auto"/>
                      <w:lang w:val="en-US" w:eastAsia="zh-CN"/>
                    </w:rPr>
                    <w:t>10</w:t>
                  </w:r>
                </w:p>
              </w:tc>
              <w:tc>
                <w:tcPr>
                  <w:tcW w:w="1620" w:type="dxa"/>
                  <w:tcBorders>
                    <w:tl2br w:val="nil"/>
                    <w:tr2bl w:val="nil"/>
                  </w:tcBorders>
                  <w:tcMar>
                    <w:top w:w="0" w:type="dxa"/>
                    <w:left w:w="57" w:type="dxa"/>
                    <w:bottom w:w="0" w:type="dxa"/>
                    <w:right w:w="57" w:type="dxa"/>
                  </w:tcMar>
                  <w:vAlign w:val="center"/>
                </w:tcPr>
                <w:p w14:paraId="6F0BFB6F">
                  <w:pPr>
                    <w:pStyle w:val="51"/>
                    <w:rPr>
                      <w:rFonts w:hint="default" w:eastAsia="宋体"/>
                      <w:color w:val="auto"/>
                      <w:lang w:val="en-US" w:eastAsia="zh-CN"/>
                    </w:rPr>
                  </w:pPr>
                  <w:r>
                    <w:rPr>
                      <w:rFonts w:hint="eastAsia"/>
                      <w:color w:val="auto"/>
                      <w:lang w:val="en-US" w:eastAsia="zh-CN"/>
                    </w:rPr>
                    <w:t>0.5</w:t>
                  </w:r>
                </w:p>
              </w:tc>
              <w:tc>
                <w:tcPr>
                  <w:tcW w:w="2608" w:type="dxa"/>
                  <w:tcBorders>
                    <w:tl2br w:val="nil"/>
                    <w:tr2bl w:val="nil"/>
                  </w:tcBorders>
                  <w:tcMar>
                    <w:top w:w="0" w:type="dxa"/>
                    <w:left w:w="57" w:type="dxa"/>
                    <w:bottom w:w="0" w:type="dxa"/>
                    <w:right w:w="57" w:type="dxa"/>
                  </w:tcMar>
                  <w:vAlign w:val="center"/>
                </w:tcPr>
                <w:p w14:paraId="23E7ADF5">
                  <w:pPr>
                    <w:pStyle w:val="51"/>
                    <w:rPr>
                      <w:rFonts w:hint="eastAsia" w:eastAsia="宋体"/>
                      <w:color w:val="auto"/>
                      <w:lang w:val="en-US" w:eastAsia="zh-CN"/>
                    </w:rPr>
                  </w:pPr>
                  <w:r>
                    <w:rPr>
                      <w:rFonts w:hint="eastAsia"/>
                      <w:color w:val="auto"/>
                      <w:lang w:val="en-US" w:eastAsia="zh-CN"/>
                    </w:rPr>
                    <w:t>/</w:t>
                  </w:r>
                </w:p>
              </w:tc>
            </w:tr>
            <w:tr w14:paraId="2188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jc w:val="center"/>
              </w:trPr>
              <w:tc>
                <w:tcPr>
                  <w:tcW w:w="558" w:type="dxa"/>
                  <w:tcBorders>
                    <w:tl2br w:val="nil"/>
                    <w:tr2bl w:val="nil"/>
                  </w:tcBorders>
                  <w:tcMar>
                    <w:top w:w="0" w:type="dxa"/>
                    <w:left w:w="57" w:type="dxa"/>
                    <w:bottom w:w="0" w:type="dxa"/>
                    <w:right w:w="57" w:type="dxa"/>
                  </w:tcMar>
                  <w:vAlign w:val="center"/>
                </w:tcPr>
                <w:p w14:paraId="1D623E39">
                  <w:pPr>
                    <w:pStyle w:val="51"/>
                    <w:rPr>
                      <w:rFonts w:hint="eastAsia" w:eastAsia="宋体"/>
                      <w:color w:val="auto"/>
                      <w:lang w:eastAsia="zh-CN"/>
                    </w:rPr>
                  </w:pPr>
                  <w:r>
                    <w:rPr>
                      <w:rFonts w:hint="eastAsia"/>
                      <w:color w:val="auto"/>
                      <w:lang w:val="en-US" w:eastAsia="zh-CN"/>
                    </w:rPr>
                    <w:t>6</w:t>
                  </w:r>
                </w:p>
              </w:tc>
              <w:tc>
                <w:tcPr>
                  <w:tcW w:w="2004" w:type="dxa"/>
                  <w:tcBorders>
                    <w:tl2br w:val="nil"/>
                    <w:tr2bl w:val="nil"/>
                  </w:tcBorders>
                  <w:tcMar>
                    <w:top w:w="0" w:type="dxa"/>
                    <w:left w:w="57" w:type="dxa"/>
                    <w:bottom w:w="0" w:type="dxa"/>
                    <w:right w:w="57" w:type="dxa"/>
                  </w:tcMar>
                  <w:vAlign w:val="center"/>
                </w:tcPr>
                <w:p w14:paraId="5586E001">
                  <w:pPr>
                    <w:pStyle w:val="51"/>
                    <w:rPr>
                      <w:color w:val="auto"/>
                    </w:rPr>
                  </w:pPr>
                  <w:r>
                    <w:rPr>
                      <w:rFonts w:hint="eastAsia"/>
                      <w:color w:val="auto"/>
                    </w:rPr>
                    <w:t>机油</w:t>
                  </w:r>
                </w:p>
              </w:tc>
              <w:tc>
                <w:tcPr>
                  <w:tcW w:w="1642" w:type="dxa"/>
                  <w:tcBorders>
                    <w:tl2br w:val="nil"/>
                    <w:tr2bl w:val="nil"/>
                  </w:tcBorders>
                  <w:tcMar>
                    <w:top w:w="0" w:type="dxa"/>
                    <w:left w:w="57" w:type="dxa"/>
                    <w:bottom w:w="0" w:type="dxa"/>
                    <w:right w:w="57" w:type="dxa"/>
                  </w:tcMar>
                  <w:vAlign w:val="center"/>
                </w:tcPr>
                <w:p w14:paraId="49673037">
                  <w:pPr>
                    <w:pStyle w:val="51"/>
                    <w:rPr>
                      <w:color w:val="auto"/>
                    </w:rPr>
                  </w:pPr>
                  <w:r>
                    <w:rPr>
                      <w:rFonts w:hint="eastAsia"/>
                      <w:color w:val="auto"/>
                    </w:rPr>
                    <w:t>4</w:t>
                  </w:r>
                </w:p>
              </w:tc>
              <w:tc>
                <w:tcPr>
                  <w:tcW w:w="1620" w:type="dxa"/>
                  <w:tcBorders>
                    <w:tl2br w:val="nil"/>
                    <w:tr2bl w:val="nil"/>
                  </w:tcBorders>
                  <w:tcMar>
                    <w:top w:w="0" w:type="dxa"/>
                    <w:left w:w="57" w:type="dxa"/>
                    <w:bottom w:w="0" w:type="dxa"/>
                    <w:right w:w="57" w:type="dxa"/>
                  </w:tcMar>
                  <w:vAlign w:val="center"/>
                </w:tcPr>
                <w:p w14:paraId="40CBDC38">
                  <w:pPr>
                    <w:pStyle w:val="51"/>
                    <w:rPr>
                      <w:color w:val="auto"/>
                    </w:rPr>
                  </w:pPr>
                  <w:r>
                    <w:rPr>
                      <w:rFonts w:hint="eastAsia"/>
                      <w:color w:val="auto"/>
                    </w:rPr>
                    <w:t>0.1</w:t>
                  </w:r>
                </w:p>
              </w:tc>
              <w:tc>
                <w:tcPr>
                  <w:tcW w:w="2608" w:type="dxa"/>
                  <w:tcBorders>
                    <w:tl2br w:val="nil"/>
                    <w:tr2bl w:val="nil"/>
                  </w:tcBorders>
                  <w:tcMar>
                    <w:top w:w="0" w:type="dxa"/>
                    <w:left w:w="57" w:type="dxa"/>
                    <w:bottom w:w="0" w:type="dxa"/>
                    <w:right w:w="57" w:type="dxa"/>
                  </w:tcMar>
                  <w:vAlign w:val="center"/>
                </w:tcPr>
                <w:p w14:paraId="484C3E18">
                  <w:pPr>
                    <w:pStyle w:val="51"/>
                    <w:rPr>
                      <w:color w:val="auto"/>
                    </w:rPr>
                  </w:pPr>
                  <w:r>
                    <w:rPr>
                      <w:rFonts w:hint="eastAsia"/>
                      <w:color w:val="auto"/>
                    </w:rPr>
                    <w:t>/</w:t>
                  </w:r>
                </w:p>
              </w:tc>
            </w:tr>
            <w:bookmarkEnd w:id="29"/>
            <w:bookmarkEnd w:id="30"/>
          </w:tbl>
          <w:p w14:paraId="6D5E303A">
            <w:pPr>
              <w:pStyle w:val="7"/>
              <w:rPr>
                <w:color w:val="auto"/>
              </w:rPr>
            </w:pPr>
            <w:bookmarkStart w:id="31" w:name="_Ref4103"/>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7</w:t>
            </w:r>
            <w:r>
              <w:rPr>
                <w:color w:val="auto"/>
              </w:rPr>
              <w:fldChar w:fldCharType="end"/>
            </w:r>
            <w:bookmarkEnd w:id="31"/>
            <w:r>
              <w:rPr>
                <w:color w:val="auto"/>
              </w:rPr>
              <w:t xml:space="preserve"> 项目主要原辅料理化性质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5826"/>
              <w:gridCol w:w="780"/>
              <w:gridCol w:w="716"/>
            </w:tblGrid>
            <w:tr w14:paraId="4AFD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 w:type="dxa"/>
                  <w:tcBorders>
                    <w:tl2br w:val="nil"/>
                    <w:tr2bl w:val="nil"/>
                  </w:tcBorders>
                  <w:tcMar>
                    <w:top w:w="0" w:type="dxa"/>
                    <w:left w:w="57" w:type="dxa"/>
                    <w:bottom w:w="0" w:type="dxa"/>
                    <w:right w:w="57" w:type="dxa"/>
                  </w:tcMar>
                  <w:vAlign w:val="center"/>
                </w:tcPr>
                <w:p w14:paraId="6649A2BE">
                  <w:pPr>
                    <w:pStyle w:val="49"/>
                    <w:rPr>
                      <w:color w:val="auto"/>
                    </w:rPr>
                  </w:pPr>
                  <w:r>
                    <w:rPr>
                      <w:color w:val="auto"/>
                    </w:rPr>
                    <w:t>原辅料</w:t>
                  </w:r>
                </w:p>
              </w:tc>
              <w:tc>
                <w:tcPr>
                  <w:tcW w:w="5826" w:type="dxa"/>
                  <w:tcBorders>
                    <w:tl2br w:val="nil"/>
                    <w:tr2bl w:val="nil"/>
                  </w:tcBorders>
                  <w:tcMar>
                    <w:top w:w="0" w:type="dxa"/>
                    <w:left w:w="57" w:type="dxa"/>
                    <w:bottom w:w="0" w:type="dxa"/>
                    <w:right w:w="57" w:type="dxa"/>
                  </w:tcMar>
                  <w:vAlign w:val="center"/>
                </w:tcPr>
                <w:p w14:paraId="30EE251C">
                  <w:pPr>
                    <w:pStyle w:val="49"/>
                    <w:rPr>
                      <w:color w:val="auto"/>
                    </w:rPr>
                  </w:pPr>
                  <w:r>
                    <w:rPr>
                      <w:color w:val="auto"/>
                    </w:rPr>
                    <w:t>理化性质</w:t>
                  </w:r>
                </w:p>
              </w:tc>
              <w:tc>
                <w:tcPr>
                  <w:tcW w:w="780" w:type="dxa"/>
                  <w:tcBorders>
                    <w:tl2br w:val="nil"/>
                    <w:tr2bl w:val="nil"/>
                  </w:tcBorders>
                  <w:tcMar>
                    <w:top w:w="0" w:type="dxa"/>
                    <w:left w:w="57" w:type="dxa"/>
                    <w:bottom w:w="0" w:type="dxa"/>
                    <w:right w:w="57" w:type="dxa"/>
                  </w:tcMar>
                  <w:vAlign w:val="center"/>
                </w:tcPr>
                <w:p w14:paraId="164D8294">
                  <w:pPr>
                    <w:pStyle w:val="49"/>
                    <w:rPr>
                      <w:color w:val="auto"/>
                    </w:rPr>
                  </w:pPr>
                  <w:r>
                    <w:rPr>
                      <w:color w:val="auto"/>
                    </w:rPr>
                    <w:t>易燃易爆性</w:t>
                  </w:r>
                </w:p>
              </w:tc>
              <w:tc>
                <w:tcPr>
                  <w:tcW w:w="716" w:type="dxa"/>
                  <w:tcBorders>
                    <w:tl2br w:val="nil"/>
                    <w:tr2bl w:val="nil"/>
                  </w:tcBorders>
                  <w:tcMar>
                    <w:top w:w="0" w:type="dxa"/>
                    <w:left w:w="57" w:type="dxa"/>
                    <w:bottom w:w="0" w:type="dxa"/>
                    <w:right w:w="57" w:type="dxa"/>
                  </w:tcMar>
                  <w:vAlign w:val="center"/>
                </w:tcPr>
                <w:p w14:paraId="583F60FC">
                  <w:pPr>
                    <w:pStyle w:val="49"/>
                    <w:rPr>
                      <w:color w:val="auto"/>
                    </w:rPr>
                  </w:pPr>
                  <w:r>
                    <w:rPr>
                      <w:color w:val="auto"/>
                    </w:rPr>
                    <w:t>毒理毒性</w:t>
                  </w:r>
                </w:p>
              </w:tc>
            </w:tr>
            <w:tr w14:paraId="36FD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 w:type="dxa"/>
                  <w:tcBorders>
                    <w:tl2br w:val="nil"/>
                    <w:tr2bl w:val="nil"/>
                  </w:tcBorders>
                  <w:tcMar>
                    <w:top w:w="0" w:type="dxa"/>
                    <w:left w:w="57" w:type="dxa"/>
                    <w:bottom w:w="0" w:type="dxa"/>
                    <w:right w:w="57" w:type="dxa"/>
                  </w:tcMar>
                  <w:vAlign w:val="center"/>
                </w:tcPr>
                <w:p w14:paraId="2DF38BB9">
                  <w:pPr>
                    <w:pStyle w:val="51"/>
                    <w:rPr>
                      <w:color w:val="auto"/>
                    </w:rPr>
                  </w:pPr>
                  <w:r>
                    <w:rPr>
                      <w:rFonts w:hint="eastAsia"/>
                      <w:color w:val="auto"/>
                    </w:rPr>
                    <w:t>POY丝</w:t>
                  </w:r>
                </w:p>
              </w:tc>
              <w:tc>
                <w:tcPr>
                  <w:tcW w:w="5826" w:type="dxa"/>
                  <w:tcBorders>
                    <w:tl2br w:val="nil"/>
                    <w:tr2bl w:val="nil"/>
                  </w:tcBorders>
                  <w:tcMar>
                    <w:top w:w="0" w:type="dxa"/>
                    <w:left w:w="57" w:type="dxa"/>
                    <w:bottom w:w="0" w:type="dxa"/>
                    <w:right w:w="57" w:type="dxa"/>
                  </w:tcMar>
                  <w:vAlign w:val="center"/>
                </w:tcPr>
                <w:p w14:paraId="436CD64B">
                  <w:pPr>
                    <w:pStyle w:val="51"/>
                    <w:rPr>
                      <w:color w:val="auto"/>
                    </w:rPr>
                  </w:pPr>
                  <w:r>
                    <w:rPr>
                      <w:rFonts w:hint="eastAsia"/>
                      <w:color w:val="auto"/>
                    </w:rPr>
                    <w:t>涤纶预取向丝（POY丝）为涤纶丝的一种，指经高速纺丝获得的取向度在未取向丝和拉伸丝之间的未完全拉伸的化纤长丝。与未拉伸丝相比，它具有一定程度的取向，稳定性好，主要用于做拉伸假捻变形丝（DTY）的专用丝，POY原丝含油率为0.3%~0.4%。</w:t>
                  </w:r>
                </w:p>
              </w:tc>
              <w:tc>
                <w:tcPr>
                  <w:tcW w:w="780" w:type="dxa"/>
                  <w:tcBorders>
                    <w:tl2br w:val="nil"/>
                    <w:tr2bl w:val="nil"/>
                  </w:tcBorders>
                  <w:tcMar>
                    <w:top w:w="0" w:type="dxa"/>
                    <w:left w:w="57" w:type="dxa"/>
                    <w:bottom w:w="0" w:type="dxa"/>
                    <w:right w:w="57" w:type="dxa"/>
                  </w:tcMar>
                  <w:vAlign w:val="center"/>
                </w:tcPr>
                <w:p w14:paraId="3AB2E32A">
                  <w:pPr>
                    <w:pStyle w:val="51"/>
                    <w:rPr>
                      <w:color w:val="auto"/>
                    </w:rPr>
                  </w:pPr>
                  <w:r>
                    <w:rPr>
                      <w:rFonts w:hint="eastAsia"/>
                      <w:color w:val="auto"/>
                    </w:rPr>
                    <w:t>易燃</w:t>
                  </w:r>
                </w:p>
              </w:tc>
              <w:tc>
                <w:tcPr>
                  <w:tcW w:w="716" w:type="dxa"/>
                  <w:tcBorders>
                    <w:tl2br w:val="nil"/>
                    <w:tr2bl w:val="nil"/>
                  </w:tcBorders>
                  <w:tcMar>
                    <w:top w:w="0" w:type="dxa"/>
                    <w:left w:w="57" w:type="dxa"/>
                    <w:bottom w:w="0" w:type="dxa"/>
                    <w:right w:w="57" w:type="dxa"/>
                  </w:tcMar>
                  <w:vAlign w:val="center"/>
                </w:tcPr>
                <w:p w14:paraId="5ACBC24C">
                  <w:pPr>
                    <w:pStyle w:val="51"/>
                    <w:rPr>
                      <w:color w:val="auto"/>
                    </w:rPr>
                  </w:pPr>
                  <w:r>
                    <w:rPr>
                      <w:rFonts w:hint="eastAsia"/>
                      <w:color w:val="auto"/>
                    </w:rPr>
                    <w:t>无毒</w:t>
                  </w:r>
                </w:p>
              </w:tc>
            </w:tr>
            <w:tr w14:paraId="2421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 w:type="dxa"/>
                  <w:tcBorders>
                    <w:tl2br w:val="nil"/>
                    <w:tr2bl w:val="nil"/>
                  </w:tcBorders>
                  <w:tcMar>
                    <w:top w:w="0" w:type="dxa"/>
                    <w:left w:w="57" w:type="dxa"/>
                    <w:bottom w:w="0" w:type="dxa"/>
                    <w:right w:w="57" w:type="dxa"/>
                  </w:tcMar>
                  <w:vAlign w:val="center"/>
                </w:tcPr>
                <w:p w14:paraId="781C3CAC">
                  <w:pPr>
                    <w:pStyle w:val="51"/>
                    <w:rPr>
                      <w:color w:val="auto"/>
                    </w:rPr>
                  </w:pPr>
                  <w:r>
                    <w:rPr>
                      <w:rFonts w:hint="eastAsia"/>
                      <w:color w:val="auto"/>
                    </w:rPr>
                    <w:t>加弹油剂</w:t>
                  </w:r>
                </w:p>
              </w:tc>
              <w:tc>
                <w:tcPr>
                  <w:tcW w:w="5826" w:type="dxa"/>
                  <w:tcBorders>
                    <w:tl2br w:val="nil"/>
                    <w:tr2bl w:val="nil"/>
                  </w:tcBorders>
                  <w:tcMar>
                    <w:top w:w="0" w:type="dxa"/>
                    <w:left w:w="57" w:type="dxa"/>
                    <w:bottom w:w="0" w:type="dxa"/>
                    <w:right w:w="57" w:type="dxa"/>
                  </w:tcMar>
                  <w:vAlign w:val="center"/>
                </w:tcPr>
                <w:p w14:paraId="5CD42A06">
                  <w:pPr>
                    <w:pStyle w:val="51"/>
                    <w:rPr>
                      <w:color w:val="auto"/>
                    </w:rPr>
                  </w:pPr>
                  <w:r>
                    <w:rPr>
                      <w:rFonts w:hint="eastAsia"/>
                      <w:color w:val="auto"/>
                    </w:rPr>
                    <w:t>为液体烃类混合物，主要成分为正构烷烃。无色或淡黄色带粘状透明油状液体，无或糖醛味气味。闪点不低于120℃。</w:t>
                  </w:r>
                </w:p>
              </w:tc>
              <w:tc>
                <w:tcPr>
                  <w:tcW w:w="780" w:type="dxa"/>
                  <w:tcBorders>
                    <w:tl2br w:val="nil"/>
                    <w:tr2bl w:val="nil"/>
                  </w:tcBorders>
                  <w:tcMar>
                    <w:top w:w="0" w:type="dxa"/>
                    <w:left w:w="57" w:type="dxa"/>
                    <w:bottom w:w="0" w:type="dxa"/>
                    <w:right w:w="57" w:type="dxa"/>
                  </w:tcMar>
                  <w:vAlign w:val="center"/>
                </w:tcPr>
                <w:p w14:paraId="6782D438">
                  <w:pPr>
                    <w:pStyle w:val="51"/>
                    <w:rPr>
                      <w:color w:val="auto"/>
                    </w:rPr>
                  </w:pPr>
                  <w:r>
                    <w:rPr>
                      <w:rFonts w:hint="eastAsia"/>
                      <w:color w:val="auto"/>
                    </w:rPr>
                    <w:t>易燃</w:t>
                  </w:r>
                </w:p>
              </w:tc>
              <w:tc>
                <w:tcPr>
                  <w:tcW w:w="716" w:type="dxa"/>
                  <w:tcBorders>
                    <w:tl2br w:val="nil"/>
                    <w:tr2bl w:val="nil"/>
                  </w:tcBorders>
                  <w:tcMar>
                    <w:top w:w="0" w:type="dxa"/>
                    <w:left w:w="57" w:type="dxa"/>
                    <w:bottom w:w="0" w:type="dxa"/>
                    <w:right w:w="57" w:type="dxa"/>
                  </w:tcMar>
                  <w:vAlign w:val="center"/>
                </w:tcPr>
                <w:p w14:paraId="545F5068">
                  <w:pPr>
                    <w:pStyle w:val="51"/>
                    <w:rPr>
                      <w:color w:val="auto"/>
                    </w:rPr>
                  </w:pPr>
                  <w:r>
                    <w:rPr>
                      <w:rFonts w:hint="eastAsia"/>
                      <w:color w:val="auto"/>
                    </w:rPr>
                    <w:t>无毒</w:t>
                  </w:r>
                </w:p>
              </w:tc>
            </w:tr>
            <w:tr w14:paraId="211C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 w:type="dxa"/>
                  <w:tcBorders>
                    <w:tl2br w:val="nil"/>
                    <w:tr2bl w:val="nil"/>
                  </w:tcBorders>
                  <w:tcMar>
                    <w:top w:w="0" w:type="dxa"/>
                    <w:left w:w="57" w:type="dxa"/>
                    <w:bottom w:w="0" w:type="dxa"/>
                    <w:right w:w="57" w:type="dxa"/>
                  </w:tcMar>
                  <w:vAlign w:val="center"/>
                </w:tcPr>
                <w:p w14:paraId="07358F17">
                  <w:pPr>
                    <w:pStyle w:val="51"/>
                    <w:rPr>
                      <w:color w:val="auto"/>
                    </w:rPr>
                  </w:pPr>
                  <w:r>
                    <w:rPr>
                      <w:rFonts w:hint="eastAsia"/>
                      <w:color w:val="auto"/>
                    </w:rPr>
                    <w:t>PAC</w:t>
                  </w:r>
                </w:p>
              </w:tc>
              <w:tc>
                <w:tcPr>
                  <w:tcW w:w="5826" w:type="dxa"/>
                  <w:tcBorders>
                    <w:tl2br w:val="nil"/>
                    <w:tr2bl w:val="nil"/>
                  </w:tcBorders>
                  <w:tcMar>
                    <w:top w:w="0" w:type="dxa"/>
                    <w:left w:w="57" w:type="dxa"/>
                    <w:bottom w:w="0" w:type="dxa"/>
                    <w:right w:w="57" w:type="dxa"/>
                  </w:tcMar>
                  <w:vAlign w:val="center"/>
                </w:tcPr>
                <w:p w14:paraId="0A9BBF2A">
                  <w:pPr>
                    <w:pStyle w:val="51"/>
                    <w:rPr>
                      <w:color w:val="auto"/>
                    </w:rPr>
                  </w:pPr>
                  <w:r>
                    <w:rPr>
                      <w:rFonts w:hint="eastAsia"/>
                      <w:color w:val="auto"/>
                    </w:rPr>
                    <w:t>聚合氯化铝（PAC），简称聚铝，是介于AlCl</w:t>
                  </w:r>
                  <w:r>
                    <w:rPr>
                      <w:rFonts w:hint="eastAsia"/>
                      <w:color w:val="auto"/>
                      <w:vertAlign w:val="subscript"/>
                    </w:rPr>
                    <w:t>3</w:t>
                  </w:r>
                  <w:r>
                    <w:rPr>
                      <w:rFonts w:hint="eastAsia"/>
                      <w:color w:val="auto"/>
                    </w:rPr>
                    <w:t>和Al(OH)</w:t>
                  </w:r>
                  <w:r>
                    <w:rPr>
                      <w:rFonts w:hint="eastAsia"/>
                      <w:color w:val="auto"/>
                      <w:vertAlign w:val="subscript"/>
                    </w:rPr>
                    <w:t>3</w:t>
                  </w:r>
                  <w:r>
                    <w:rPr>
                      <w:rFonts w:hint="eastAsia"/>
                      <w:color w:val="auto"/>
                    </w:rPr>
                    <w:t>之间的一种水溶性无机高分子聚合物。</w:t>
                  </w:r>
                  <w:r>
                    <w:rPr>
                      <w:color w:val="auto"/>
                    </w:rPr>
                    <w:t>具有吸附、凝聚、沉淀等性能，其稳定性差，有腐蚀性</w:t>
                  </w:r>
                  <w:r>
                    <w:rPr>
                      <w:rFonts w:hint="eastAsia"/>
                      <w:color w:val="auto"/>
                    </w:rPr>
                    <w:t>，</w:t>
                  </w:r>
                  <w:r>
                    <w:rPr>
                      <w:color w:val="auto"/>
                    </w:rPr>
                    <w:t>易溶于水。无色或黄色树脂状固体，溶液为无色或黄褐色透明液体。</w:t>
                  </w:r>
                </w:p>
              </w:tc>
              <w:tc>
                <w:tcPr>
                  <w:tcW w:w="780" w:type="dxa"/>
                  <w:tcBorders>
                    <w:tl2br w:val="nil"/>
                    <w:tr2bl w:val="nil"/>
                  </w:tcBorders>
                  <w:tcMar>
                    <w:top w:w="0" w:type="dxa"/>
                    <w:left w:w="57" w:type="dxa"/>
                    <w:bottom w:w="0" w:type="dxa"/>
                    <w:right w:w="57" w:type="dxa"/>
                  </w:tcMar>
                  <w:vAlign w:val="center"/>
                </w:tcPr>
                <w:p w14:paraId="7CCB31D9">
                  <w:pPr>
                    <w:pStyle w:val="51"/>
                    <w:rPr>
                      <w:color w:val="auto"/>
                    </w:rPr>
                  </w:pPr>
                  <w:r>
                    <w:rPr>
                      <w:rFonts w:hint="eastAsia"/>
                      <w:color w:val="auto"/>
                    </w:rPr>
                    <w:t>/</w:t>
                  </w:r>
                </w:p>
              </w:tc>
              <w:tc>
                <w:tcPr>
                  <w:tcW w:w="716" w:type="dxa"/>
                  <w:tcBorders>
                    <w:tl2br w:val="nil"/>
                    <w:tr2bl w:val="nil"/>
                  </w:tcBorders>
                  <w:tcMar>
                    <w:top w:w="0" w:type="dxa"/>
                    <w:left w:w="57" w:type="dxa"/>
                    <w:bottom w:w="0" w:type="dxa"/>
                    <w:right w:w="57" w:type="dxa"/>
                  </w:tcMar>
                  <w:vAlign w:val="center"/>
                </w:tcPr>
                <w:p w14:paraId="2CA3A801">
                  <w:pPr>
                    <w:pStyle w:val="51"/>
                    <w:rPr>
                      <w:color w:val="auto"/>
                    </w:rPr>
                  </w:pPr>
                  <w:r>
                    <w:rPr>
                      <w:rFonts w:hint="eastAsia"/>
                      <w:color w:val="auto"/>
                    </w:rPr>
                    <w:t>无毒</w:t>
                  </w:r>
                </w:p>
              </w:tc>
            </w:tr>
            <w:tr w14:paraId="7984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 w:type="dxa"/>
                  <w:tcBorders>
                    <w:tl2br w:val="nil"/>
                    <w:tr2bl w:val="nil"/>
                  </w:tcBorders>
                  <w:tcMar>
                    <w:top w:w="0" w:type="dxa"/>
                    <w:left w:w="57" w:type="dxa"/>
                    <w:bottom w:w="0" w:type="dxa"/>
                    <w:right w:w="57" w:type="dxa"/>
                  </w:tcMar>
                  <w:vAlign w:val="center"/>
                </w:tcPr>
                <w:p w14:paraId="7E1D511C">
                  <w:pPr>
                    <w:pStyle w:val="51"/>
                    <w:rPr>
                      <w:color w:val="auto"/>
                    </w:rPr>
                  </w:pPr>
                  <w:r>
                    <w:rPr>
                      <w:rFonts w:hint="eastAsia"/>
                      <w:color w:val="auto"/>
                    </w:rPr>
                    <w:t>PAM</w:t>
                  </w:r>
                </w:p>
              </w:tc>
              <w:tc>
                <w:tcPr>
                  <w:tcW w:w="5826" w:type="dxa"/>
                  <w:tcBorders>
                    <w:tl2br w:val="nil"/>
                    <w:tr2bl w:val="nil"/>
                  </w:tcBorders>
                  <w:tcMar>
                    <w:top w:w="0" w:type="dxa"/>
                    <w:left w:w="57" w:type="dxa"/>
                    <w:bottom w:w="0" w:type="dxa"/>
                    <w:right w:w="57" w:type="dxa"/>
                  </w:tcMar>
                  <w:vAlign w:val="center"/>
                </w:tcPr>
                <w:p w14:paraId="40504E40">
                  <w:pPr>
                    <w:pStyle w:val="51"/>
                    <w:rPr>
                      <w:color w:val="auto"/>
                    </w:rPr>
                  </w:pPr>
                  <w:r>
                    <w:rPr>
                      <w:color w:val="auto"/>
                    </w:rPr>
                    <w:t>聚丙烯酰胺（PAM）是一种线型高分子</w:t>
                  </w:r>
                  <w:r>
                    <w:rPr>
                      <w:color w:val="auto"/>
                    </w:rPr>
                    <w:fldChar w:fldCharType="begin"/>
                  </w:r>
                  <w:r>
                    <w:rPr>
                      <w:color w:val="auto"/>
                    </w:rPr>
                    <w:instrText xml:space="preserve"> HYPERLINK "https://baike.baidu.com/item/%E8%81%9A%E5%90%88%E7%89%A9/6252844?fromModule=lemma_inlink" \t "https://baike.baidu.com/item/%E8%81%9A%E4%B8%99%E7%83%AF%E9%85%B0%E8%83%BA/_blank" </w:instrText>
                  </w:r>
                  <w:r>
                    <w:rPr>
                      <w:color w:val="auto"/>
                    </w:rPr>
                    <w:fldChar w:fldCharType="separate"/>
                  </w:r>
                  <w:r>
                    <w:rPr>
                      <w:rStyle w:val="53"/>
                      <w:color w:val="auto"/>
                    </w:rPr>
                    <w:t>聚合物</w:t>
                  </w:r>
                  <w:r>
                    <w:rPr>
                      <w:rStyle w:val="53"/>
                      <w:color w:val="auto"/>
                    </w:rPr>
                    <w:fldChar w:fldCharType="end"/>
                  </w:r>
                  <w:r>
                    <w:rPr>
                      <w:color w:val="auto"/>
                    </w:rPr>
                    <w:t>。在常温下为坚硬的玻璃态固体，产品有胶液、胶乳和白色粉粒、半透明珠粒和薄片等。热稳定性良好。能以任意比例溶于水，水溶液为均匀透明的液体。密度为1.302g/cm</w:t>
                  </w:r>
                  <w:r>
                    <w:rPr>
                      <w:color w:val="auto"/>
                      <w:vertAlign w:val="superscript"/>
                    </w:rPr>
                    <w:t>3</w:t>
                  </w:r>
                  <w:r>
                    <w:rPr>
                      <w:color w:val="auto"/>
                    </w:rPr>
                    <w:t>，玻璃化温度为153℃，软化温度210℃。</w:t>
                  </w:r>
                </w:p>
              </w:tc>
              <w:tc>
                <w:tcPr>
                  <w:tcW w:w="780" w:type="dxa"/>
                  <w:tcBorders>
                    <w:tl2br w:val="nil"/>
                    <w:tr2bl w:val="nil"/>
                  </w:tcBorders>
                  <w:tcMar>
                    <w:top w:w="0" w:type="dxa"/>
                    <w:left w:w="57" w:type="dxa"/>
                    <w:bottom w:w="0" w:type="dxa"/>
                    <w:right w:w="57" w:type="dxa"/>
                  </w:tcMar>
                  <w:vAlign w:val="center"/>
                </w:tcPr>
                <w:p w14:paraId="4FA72A9C">
                  <w:pPr>
                    <w:pStyle w:val="51"/>
                    <w:rPr>
                      <w:color w:val="auto"/>
                    </w:rPr>
                  </w:pPr>
                  <w:r>
                    <w:rPr>
                      <w:rFonts w:hint="eastAsia"/>
                      <w:color w:val="auto"/>
                    </w:rPr>
                    <w:t>/</w:t>
                  </w:r>
                </w:p>
              </w:tc>
              <w:tc>
                <w:tcPr>
                  <w:tcW w:w="716" w:type="dxa"/>
                  <w:tcBorders>
                    <w:tl2br w:val="nil"/>
                    <w:tr2bl w:val="nil"/>
                  </w:tcBorders>
                  <w:tcMar>
                    <w:top w:w="0" w:type="dxa"/>
                    <w:left w:w="57" w:type="dxa"/>
                    <w:bottom w:w="0" w:type="dxa"/>
                    <w:right w:w="57" w:type="dxa"/>
                  </w:tcMar>
                  <w:vAlign w:val="center"/>
                </w:tcPr>
                <w:p w14:paraId="7D96B110">
                  <w:pPr>
                    <w:pStyle w:val="51"/>
                    <w:rPr>
                      <w:color w:val="auto"/>
                    </w:rPr>
                  </w:pPr>
                  <w:r>
                    <w:rPr>
                      <w:rFonts w:hint="eastAsia"/>
                      <w:color w:val="auto"/>
                    </w:rPr>
                    <w:t>无毒</w:t>
                  </w:r>
                </w:p>
              </w:tc>
            </w:tr>
            <w:tr w14:paraId="2A24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11" w:type="dxa"/>
                  <w:tcBorders>
                    <w:tl2br w:val="nil"/>
                    <w:tr2bl w:val="nil"/>
                  </w:tcBorders>
                  <w:tcMar>
                    <w:top w:w="0" w:type="dxa"/>
                    <w:left w:w="57" w:type="dxa"/>
                    <w:bottom w:w="0" w:type="dxa"/>
                    <w:right w:w="57" w:type="dxa"/>
                  </w:tcMar>
                  <w:vAlign w:val="center"/>
                </w:tcPr>
                <w:p w14:paraId="37A4462F">
                  <w:pPr>
                    <w:pStyle w:val="51"/>
                    <w:rPr>
                      <w:rFonts w:hint="eastAsia"/>
                      <w:color w:val="auto"/>
                    </w:rPr>
                  </w:pPr>
                  <w:r>
                    <w:rPr>
                      <w:rFonts w:hint="eastAsia"/>
                      <w:color w:val="auto"/>
                      <w:lang w:val="en-US" w:eastAsia="zh-CN"/>
                    </w:rPr>
                    <w:t>PFS</w:t>
                  </w:r>
                </w:p>
              </w:tc>
              <w:tc>
                <w:tcPr>
                  <w:tcW w:w="5826" w:type="dxa"/>
                  <w:tcBorders>
                    <w:tl2br w:val="nil"/>
                    <w:tr2bl w:val="nil"/>
                  </w:tcBorders>
                  <w:tcMar>
                    <w:top w:w="0" w:type="dxa"/>
                    <w:left w:w="57" w:type="dxa"/>
                    <w:bottom w:w="0" w:type="dxa"/>
                    <w:right w:w="57" w:type="dxa"/>
                  </w:tcMar>
                  <w:vAlign w:val="center"/>
                </w:tcPr>
                <w:p w14:paraId="3836D057">
                  <w:pPr>
                    <w:pStyle w:val="51"/>
                    <w:rPr>
                      <w:rFonts w:hint="default"/>
                      <w:color w:val="auto"/>
                      <w:lang w:val="en-US" w:eastAsia="zh-CN"/>
                    </w:rPr>
                  </w:pPr>
                  <w:r>
                    <w:rPr>
                      <w:rFonts w:hint="eastAsia"/>
                      <w:color w:val="auto"/>
                    </w:rPr>
                    <w:t>聚合硫酸铁</w:t>
                  </w:r>
                  <w:r>
                    <w:rPr>
                      <w:rFonts w:hint="eastAsia"/>
                      <w:color w:val="auto"/>
                      <w:lang w:eastAsia="zh-CN"/>
                    </w:rPr>
                    <w:t>（</w:t>
                  </w:r>
                  <w:r>
                    <w:rPr>
                      <w:rFonts w:hint="eastAsia"/>
                      <w:color w:val="auto"/>
                      <w:lang w:val="en-US" w:eastAsia="zh-CN"/>
                    </w:rPr>
                    <w:t>PFS</w:t>
                  </w:r>
                  <w:r>
                    <w:rPr>
                      <w:rFonts w:hint="eastAsia"/>
                      <w:color w:val="auto"/>
                      <w:lang w:eastAsia="zh-CN"/>
                    </w:rPr>
                    <w:t>）</w:t>
                  </w:r>
                  <w:r>
                    <w:rPr>
                      <w:rFonts w:hint="eastAsia"/>
                      <w:color w:val="auto"/>
                    </w:rPr>
                    <w:t>是一种性能优越的无机高分子混凝剂</w:t>
                  </w:r>
                  <w:r>
                    <w:rPr>
                      <w:rFonts w:hint="eastAsia"/>
                      <w:color w:val="auto"/>
                      <w:lang w:eastAsia="zh-CN"/>
                    </w:rPr>
                    <w:t>，</w:t>
                  </w:r>
                  <w:r>
                    <w:rPr>
                      <w:rFonts w:hint="eastAsia"/>
                      <w:color w:val="auto"/>
                      <w:lang w:val="en-US" w:eastAsia="zh-CN"/>
                    </w:rPr>
                    <w:t>易溶于水。</w:t>
                  </w:r>
                  <w:r>
                    <w:rPr>
                      <w:rFonts w:hint="eastAsia"/>
                      <w:color w:val="auto"/>
                    </w:rPr>
                    <w:t>外观与性状</w:t>
                  </w:r>
                  <w:r>
                    <w:rPr>
                      <w:rFonts w:hint="eastAsia"/>
                      <w:color w:val="auto"/>
                      <w:lang w:val="en-US" w:eastAsia="zh-CN"/>
                    </w:rPr>
                    <w:t>为</w:t>
                  </w:r>
                  <w:r>
                    <w:rPr>
                      <w:rFonts w:hint="eastAsia"/>
                      <w:color w:val="auto"/>
                    </w:rPr>
                    <w:t>黄色或红褐色无定形粉末或颗粒状固体</w:t>
                  </w:r>
                  <w:r>
                    <w:rPr>
                      <w:rFonts w:hint="eastAsia"/>
                      <w:color w:val="auto"/>
                      <w:lang w:eastAsia="zh-CN"/>
                    </w:rPr>
                    <w:t>，</w:t>
                  </w:r>
                  <w:r>
                    <w:rPr>
                      <w:rFonts w:hint="eastAsia"/>
                      <w:color w:val="auto"/>
                      <w:lang w:val="en-US" w:eastAsia="zh-CN"/>
                    </w:rPr>
                    <w:t>熔点为190℃，相对密度（水=1）为2.44。</w:t>
                  </w:r>
                </w:p>
              </w:tc>
              <w:tc>
                <w:tcPr>
                  <w:tcW w:w="780" w:type="dxa"/>
                  <w:tcBorders>
                    <w:tl2br w:val="nil"/>
                    <w:tr2bl w:val="nil"/>
                  </w:tcBorders>
                  <w:tcMar>
                    <w:top w:w="0" w:type="dxa"/>
                    <w:left w:w="57" w:type="dxa"/>
                    <w:bottom w:w="0" w:type="dxa"/>
                    <w:right w:w="57" w:type="dxa"/>
                  </w:tcMar>
                  <w:vAlign w:val="center"/>
                </w:tcPr>
                <w:p w14:paraId="58C72D76">
                  <w:pPr>
                    <w:pStyle w:val="51"/>
                    <w:rPr>
                      <w:rFonts w:hint="eastAsia" w:eastAsia="宋体"/>
                      <w:color w:val="auto"/>
                      <w:lang w:val="en-US" w:eastAsia="zh-CN"/>
                    </w:rPr>
                  </w:pPr>
                  <w:r>
                    <w:rPr>
                      <w:rFonts w:hint="eastAsia"/>
                      <w:color w:val="auto"/>
                      <w:lang w:val="en-US" w:eastAsia="zh-CN"/>
                    </w:rPr>
                    <w:t>/</w:t>
                  </w:r>
                </w:p>
              </w:tc>
              <w:tc>
                <w:tcPr>
                  <w:tcW w:w="716" w:type="dxa"/>
                  <w:tcBorders>
                    <w:tl2br w:val="nil"/>
                    <w:tr2bl w:val="nil"/>
                  </w:tcBorders>
                  <w:tcMar>
                    <w:top w:w="0" w:type="dxa"/>
                    <w:left w:w="57" w:type="dxa"/>
                    <w:bottom w:w="0" w:type="dxa"/>
                    <w:right w:w="57" w:type="dxa"/>
                  </w:tcMar>
                  <w:vAlign w:val="center"/>
                </w:tcPr>
                <w:p w14:paraId="24A6A864">
                  <w:pPr>
                    <w:pStyle w:val="51"/>
                    <w:rPr>
                      <w:rFonts w:hint="eastAsia" w:eastAsia="宋体"/>
                      <w:color w:val="auto"/>
                      <w:lang w:val="en-US" w:eastAsia="zh-CN"/>
                    </w:rPr>
                  </w:pPr>
                  <w:r>
                    <w:rPr>
                      <w:rFonts w:hint="eastAsia"/>
                      <w:color w:val="auto"/>
                      <w:lang w:val="en-US" w:eastAsia="zh-CN"/>
                    </w:rPr>
                    <w:t>有毒</w:t>
                  </w:r>
                </w:p>
              </w:tc>
            </w:tr>
          </w:tbl>
          <w:p w14:paraId="11BFE470">
            <w:pPr>
              <w:pStyle w:val="47"/>
              <w:ind w:firstLine="482"/>
              <w:rPr>
                <w:b/>
                <w:bCs/>
                <w:color w:val="auto"/>
              </w:rPr>
            </w:pPr>
            <w:r>
              <w:rPr>
                <w:rFonts w:hint="eastAsia"/>
                <w:b/>
                <w:bCs/>
                <w:color w:val="auto"/>
              </w:rPr>
              <w:t>6</w:t>
            </w:r>
            <w:r>
              <w:rPr>
                <w:b/>
                <w:bCs/>
                <w:color w:val="auto"/>
              </w:rPr>
              <w:t>、职工定员及工作制度</w:t>
            </w:r>
          </w:p>
          <w:p w14:paraId="7ECB2457">
            <w:pPr>
              <w:pStyle w:val="47"/>
              <w:ind w:firstLine="480"/>
              <w:rPr>
                <w:color w:val="auto"/>
              </w:rPr>
            </w:pPr>
            <w:r>
              <w:rPr>
                <w:color w:val="auto"/>
              </w:rPr>
              <w:t>本项目全厂职工定员</w:t>
            </w:r>
            <w:r>
              <w:rPr>
                <w:rFonts w:hint="eastAsia"/>
                <w:color w:val="auto"/>
              </w:rPr>
              <w:t>200</w:t>
            </w:r>
            <w:r>
              <w:rPr>
                <w:color w:val="auto"/>
              </w:rPr>
              <w:t>人，采用三班制，每天工作8h，年工作时间为300天。</w:t>
            </w:r>
          </w:p>
          <w:p w14:paraId="496FB23D">
            <w:pPr>
              <w:pStyle w:val="47"/>
              <w:ind w:firstLine="482"/>
              <w:rPr>
                <w:b/>
                <w:bCs/>
                <w:color w:val="auto"/>
              </w:rPr>
            </w:pPr>
            <w:r>
              <w:rPr>
                <w:b/>
                <w:bCs/>
                <w:color w:val="auto"/>
              </w:rPr>
              <w:t>7、水平衡</w:t>
            </w:r>
          </w:p>
          <w:p w14:paraId="5175BDBF">
            <w:pPr>
              <w:pStyle w:val="47"/>
              <w:ind w:firstLine="480"/>
              <w:rPr>
                <w:color w:val="auto"/>
              </w:rPr>
            </w:pPr>
            <w:r>
              <w:rPr>
                <w:color w:val="auto"/>
              </w:rPr>
              <w:t>本项目用水主要为职工生活用水、</w:t>
            </w:r>
            <w:r>
              <w:rPr>
                <w:rFonts w:hint="eastAsia"/>
                <w:color w:val="auto"/>
              </w:rPr>
              <w:t>喷水织造用水、磨毛用水</w:t>
            </w:r>
            <w:r>
              <w:rPr>
                <w:color w:val="auto"/>
              </w:rPr>
              <w:t>。其中仅职工生活污水外排。项目水平衡图见</w:t>
            </w:r>
            <w:r>
              <w:rPr>
                <w:color w:val="auto"/>
              </w:rPr>
              <w:fldChar w:fldCharType="begin"/>
            </w:r>
            <w:r>
              <w:rPr>
                <w:color w:val="auto"/>
              </w:rPr>
              <w:instrText xml:space="preserve"> REF _Ref11176 \h </w:instrText>
            </w:r>
            <w:r>
              <w:rPr>
                <w:color w:val="auto"/>
              </w:rPr>
              <w:fldChar w:fldCharType="separate"/>
            </w:r>
            <w:r>
              <w:rPr>
                <w:color w:val="auto"/>
              </w:rPr>
              <w:t>图2- 1</w:t>
            </w:r>
            <w:r>
              <w:rPr>
                <w:color w:val="auto"/>
              </w:rPr>
              <w:fldChar w:fldCharType="end"/>
            </w:r>
            <w:r>
              <w:rPr>
                <w:color w:val="auto"/>
              </w:rPr>
              <w:t>。</w:t>
            </w:r>
          </w:p>
          <w:p w14:paraId="558432CE">
            <w:pPr>
              <w:pStyle w:val="7"/>
              <w:rPr>
                <w:color w:val="auto"/>
              </w:rPr>
            </w:pPr>
            <w:r>
              <w:rPr>
                <w:color w:val="auto"/>
              </w:rPr>
              <w:drawing>
                <wp:inline distT="0" distB="0" distL="114300" distR="114300">
                  <wp:extent cx="4392295" cy="2078355"/>
                  <wp:effectExtent l="0" t="0" r="8255" b="1714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10"/>
                          <a:srcRect l="24668" t="24015" r="22629" b="28047"/>
                          <a:stretch>
                            <a:fillRect/>
                          </a:stretch>
                        </pic:blipFill>
                        <pic:spPr>
                          <a:xfrm>
                            <a:off x="0" y="0"/>
                            <a:ext cx="4392295" cy="2078355"/>
                          </a:xfrm>
                          <a:prstGeom prst="rect">
                            <a:avLst/>
                          </a:prstGeom>
                          <a:noFill/>
                          <a:ln>
                            <a:noFill/>
                          </a:ln>
                        </pic:spPr>
                      </pic:pic>
                    </a:graphicData>
                  </a:graphic>
                </wp:inline>
              </w:drawing>
            </w:r>
          </w:p>
          <w:p w14:paraId="15529DD3">
            <w:pPr>
              <w:pStyle w:val="7"/>
              <w:rPr>
                <w:color w:val="auto"/>
              </w:rPr>
            </w:pPr>
            <w:bookmarkStart w:id="32" w:name="_Ref11176"/>
            <w:r>
              <w:rPr>
                <w:color w:val="auto"/>
              </w:rPr>
              <w:t xml:space="preserve">图2- </w:t>
            </w:r>
            <w:r>
              <w:rPr>
                <w:color w:val="auto"/>
              </w:rPr>
              <w:fldChar w:fldCharType="begin"/>
            </w:r>
            <w:r>
              <w:rPr>
                <w:color w:val="auto"/>
              </w:rPr>
              <w:instrText xml:space="preserve"> SEQ 图2- \* ARABIC </w:instrText>
            </w:r>
            <w:r>
              <w:rPr>
                <w:color w:val="auto"/>
              </w:rPr>
              <w:fldChar w:fldCharType="separate"/>
            </w:r>
            <w:r>
              <w:rPr>
                <w:color w:val="auto"/>
              </w:rPr>
              <w:t>1</w:t>
            </w:r>
            <w:r>
              <w:rPr>
                <w:color w:val="auto"/>
              </w:rPr>
              <w:fldChar w:fldCharType="end"/>
            </w:r>
            <w:bookmarkEnd w:id="32"/>
            <w:r>
              <w:rPr>
                <w:color w:val="auto"/>
              </w:rPr>
              <w:t xml:space="preserve"> 项目水平衡图（单位：m3/a）</w:t>
            </w:r>
          </w:p>
          <w:p w14:paraId="0ABBA191">
            <w:pPr>
              <w:pStyle w:val="47"/>
              <w:ind w:firstLine="482"/>
              <w:rPr>
                <w:b/>
                <w:bCs/>
                <w:color w:val="auto"/>
              </w:rPr>
            </w:pPr>
            <w:r>
              <w:rPr>
                <w:b/>
                <w:bCs/>
                <w:color w:val="auto"/>
              </w:rPr>
              <w:t>（1）职工生活用水</w:t>
            </w:r>
          </w:p>
          <w:p w14:paraId="1279AFF4">
            <w:pPr>
              <w:pStyle w:val="47"/>
              <w:ind w:firstLine="480"/>
              <w:rPr>
                <w:color w:val="auto"/>
              </w:rPr>
            </w:pPr>
            <w:r>
              <w:rPr>
                <w:color w:val="auto"/>
              </w:rPr>
              <w:t>本项目职工定员</w:t>
            </w:r>
            <w:r>
              <w:rPr>
                <w:rFonts w:hint="eastAsia"/>
                <w:color w:val="auto"/>
              </w:rPr>
              <w:t>200</w:t>
            </w:r>
            <w:r>
              <w:rPr>
                <w:color w:val="auto"/>
              </w:rPr>
              <w:t>人。根据《建筑给水排水设计规范》（GB50015-2019），职工生活用水定额按</w:t>
            </w:r>
            <w:r>
              <w:rPr>
                <w:rFonts w:hint="eastAsia"/>
                <w:color w:val="auto"/>
              </w:rPr>
              <w:t>5</w:t>
            </w:r>
            <w:r>
              <w:rPr>
                <w:color w:val="auto"/>
              </w:rPr>
              <w:t>0L/人·d计，则职工生活用水量为</w:t>
            </w:r>
            <w:r>
              <w:rPr>
                <w:rFonts w:hint="eastAsia"/>
                <w:color w:val="auto"/>
              </w:rPr>
              <w:t>3000</w:t>
            </w:r>
            <w:r>
              <w:rPr>
                <w:color w:val="auto"/>
              </w:rPr>
              <w:t>m</w:t>
            </w:r>
            <w:r>
              <w:rPr>
                <w:color w:val="auto"/>
                <w:vertAlign w:val="superscript"/>
              </w:rPr>
              <w:t>3</w:t>
            </w:r>
            <w:r>
              <w:rPr>
                <w:color w:val="auto"/>
              </w:rPr>
              <w:t>/a。职工生活用水产污系数为0.8，则生活污水产生量为</w:t>
            </w:r>
            <w:r>
              <w:rPr>
                <w:rFonts w:hint="eastAsia"/>
                <w:color w:val="auto"/>
              </w:rPr>
              <w:t>2400</w:t>
            </w:r>
            <w:r>
              <w:rPr>
                <w:color w:val="auto"/>
              </w:rPr>
              <w:t>m</w:t>
            </w:r>
            <w:r>
              <w:rPr>
                <w:color w:val="auto"/>
                <w:vertAlign w:val="superscript"/>
              </w:rPr>
              <w:t>3</w:t>
            </w:r>
            <w:r>
              <w:rPr>
                <w:color w:val="auto"/>
              </w:rPr>
              <w:t>/a。</w:t>
            </w:r>
          </w:p>
          <w:p w14:paraId="6D38ADA9">
            <w:pPr>
              <w:pStyle w:val="47"/>
              <w:ind w:firstLine="482"/>
              <w:rPr>
                <w:b/>
                <w:bCs/>
                <w:color w:val="auto"/>
              </w:rPr>
            </w:pPr>
            <w:r>
              <w:rPr>
                <w:b/>
                <w:bCs/>
                <w:color w:val="auto"/>
              </w:rPr>
              <w:t>（2）</w:t>
            </w:r>
            <w:r>
              <w:rPr>
                <w:rFonts w:hint="eastAsia"/>
                <w:b/>
                <w:bCs/>
                <w:color w:val="auto"/>
              </w:rPr>
              <w:t>喷水织造用水</w:t>
            </w:r>
          </w:p>
          <w:p w14:paraId="35A3F162">
            <w:pPr>
              <w:pStyle w:val="47"/>
              <w:ind w:firstLine="480"/>
              <w:rPr>
                <w:color w:val="auto"/>
              </w:rPr>
            </w:pPr>
            <w:r>
              <w:rPr>
                <w:rFonts w:hint="eastAsia"/>
                <w:color w:val="auto"/>
              </w:rPr>
              <w:t>本项目每台喷水织机用水量为3m</w:t>
            </w:r>
            <w:r>
              <w:rPr>
                <w:rFonts w:hint="eastAsia"/>
                <w:color w:val="auto"/>
                <w:vertAlign w:val="superscript"/>
              </w:rPr>
              <w:t>3</w:t>
            </w:r>
            <w:r>
              <w:rPr>
                <w:rFonts w:hint="eastAsia"/>
                <w:color w:val="auto"/>
              </w:rPr>
              <w:t>/d，则1200台喷水织机用水量为1080000m</w:t>
            </w:r>
            <w:r>
              <w:rPr>
                <w:rFonts w:hint="eastAsia"/>
                <w:color w:val="auto"/>
                <w:vertAlign w:val="superscript"/>
              </w:rPr>
              <w:t>3</w:t>
            </w:r>
            <w:r>
              <w:rPr>
                <w:rFonts w:hint="eastAsia"/>
                <w:color w:val="auto"/>
              </w:rPr>
              <w:t>/a。喷水织造工序由于织物带走以及水分蒸发会损耗部分水量。参考《郎溪亿丰纺织有限公司年产8000万米各类化纤布、涂层布等纺织功能面料项目阶段性竣工环境保护验收监测报告》，喷水织机循环用水量为1210m</w:t>
            </w:r>
            <w:r>
              <w:rPr>
                <w:rFonts w:hint="eastAsia"/>
                <w:color w:val="auto"/>
                <w:vertAlign w:val="superscript"/>
              </w:rPr>
              <w:t>3</w:t>
            </w:r>
            <w:r>
              <w:rPr>
                <w:rFonts w:hint="eastAsia"/>
                <w:color w:val="auto"/>
              </w:rPr>
              <w:t>/d，损耗量为110m</w:t>
            </w:r>
            <w:r>
              <w:rPr>
                <w:rFonts w:hint="eastAsia"/>
                <w:color w:val="auto"/>
                <w:vertAlign w:val="superscript"/>
              </w:rPr>
              <w:t>3</w:t>
            </w:r>
            <w:r>
              <w:rPr>
                <w:rFonts w:hint="eastAsia"/>
                <w:color w:val="auto"/>
              </w:rPr>
              <w:t>/d，损耗率约为8.4%</w:t>
            </w:r>
            <w:r>
              <w:rPr>
                <w:rFonts w:hint="eastAsia"/>
                <w:color w:val="auto"/>
                <w:lang w:eastAsia="zh-CN"/>
              </w:rPr>
              <w:t>。</w:t>
            </w:r>
            <w:r>
              <w:rPr>
                <w:rFonts w:hint="eastAsia"/>
                <w:color w:val="auto"/>
              </w:rPr>
              <w:t>因此</w:t>
            </w:r>
            <w:r>
              <w:rPr>
                <w:rFonts w:hint="eastAsia"/>
                <w:color w:val="auto"/>
                <w:lang w:eastAsia="zh-CN"/>
              </w:rPr>
              <w:t>，</w:t>
            </w:r>
            <w:r>
              <w:rPr>
                <w:rFonts w:hint="eastAsia"/>
                <w:color w:val="auto"/>
              </w:rPr>
              <w:t>本项目喷水织造用水损耗率按10%计，则损耗水量为108000m</w:t>
            </w:r>
            <w:r>
              <w:rPr>
                <w:rFonts w:hint="eastAsia"/>
                <w:color w:val="auto"/>
                <w:vertAlign w:val="superscript"/>
              </w:rPr>
              <w:t>3</w:t>
            </w:r>
            <w:r>
              <w:rPr>
                <w:rFonts w:hint="eastAsia"/>
                <w:color w:val="auto"/>
              </w:rPr>
              <w:t>/a，喷水织造废水产生量为972000m</w:t>
            </w:r>
            <w:r>
              <w:rPr>
                <w:rFonts w:hint="eastAsia"/>
                <w:color w:val="auto"/>
                <w:vertAlign w:val="superscript"/>
              </w:rPr>
              <w:t>3</w:t>
            </w:r>
            <w:r>
              <w:rPr>
                <w:rFonts w:hint="eastAsia"/>
                <w:color w:val="auto"/>
              </w:rPr>
              <w:t>/a。喷水织造废水经厂区内污水处理站处理达到回用标准后，全部回用于喷水织造、不外排。</w:t>
            </w:r>
          </w:p>
          <w:p w14:paraId="0277F065">
            <w:pPr>
              <w:pStyle w:val="47"/>
              <w:ind w:firstLine="482"/>
              <w:rPr>
                <w:b/>
                <w:bCs/>
                <w:color w:val="auto"/>
              </w:rPr>
            </w:pPr>
            <w:r>
              <w:rPr>
                <w:rFonts w:hint="eastAsia"/>
                <w:b/>
                <w:bCs/>
                <w:color w:val="auto"/>
              </w:rPr>
              <w:t>（3）磨毛用水</w:t>
            </w:r>
          </w:p>
          <w:p w14:paraId="1787D777">
            <w:pPr>
              <w:pStyle w:val="47"/>
              <w:ind w:firstLine="480"/>
              <w:rPr>
                <w:color w:val="auto"/>
              </w:rPr>
            </w:pPr>
            <w:r>
              <w:rPr>
                <w:rFonts w:hint="eastAsia"/>
                <w:color w:val="auto"/>
              </w:rPr>
              <w:t>本项目每台</w:t>
            </w:r>
            <w:r>
              <w:rPr>
                <w:rFonts w:hint="eastAsia"/>
                <w:color w:val="auto"/>
                <w:lang w:val="en-US" w:eastAsia="zh-CN"/>
              </w:rPr>
              <w:t>磨毛机</w:t>
            </w:r>
            <w:r>
              <w:rPr>
                <w:rFonts w:hint="eastAsia"/>
                <w:color w:val="auto"/>
              </w:rPr>
              <w:t>用水量为5m</w:t>
            </w:r>
            <w:r>
              <w:rPr>
                <w:rFonts w:hint="eastAsia"/>
                <w:color w:val="auto"/>
                <w:vertAlign w:val="superscript"/>
              </w:rPr>
              <w:t>3</w:t>
            </w:r>
            <w:r>
              <w:rPr>
                <w:rFonts w:hint="eastAsia"/>
                <w:color w:val="auto"/>
              </w:rPr>
              <w:t>/d，则4台</w:t>
            </w:r>
            <w:r>
              <w:rPr>
                <w:rFonts w:hint="eastAsia"/>
                <w:color w:val="auto"/>
                <w:lang w:val="en-US" w:eastAsia="zh-CN"/>
              </w:rPr>
              <w:t>磨毛机</w:t>
            </w:r>
            <w:r>
              <w:rPr>
                <w:rFonts w:hint="eastAsia"/>
                <w:color w:val="auto"/>
              </w:rPr>
              <w:t>用水量为6000m</w:t>
            </w:r>
            <w:r>
              <w:rPr>
                <w:rFonts w:hint="eastAsia"/>
                <w:color w:val="auto"/>
                <w:vertAlign w:val="superscript"/>
              </w:rPr>
              <w:t>3</w:t>
            </w:r>
            <w:r>
              <w:rPr>
                <w:rFonts w:hint="eastAsia"/>
                <w:color w:val="auto"/>
              </w:rPr>
              <w:t>/a，磨毛用水循环使用，需定期进行捞渣。磨毛工序由于织物带走、水分蒸发以及捞渣会损耗部分水量。参考《郎溪亿丰纺织有限公司年产8000万米各类化纤布、涂层布等纺织功能面料项目阶段性竣工环境保护验收监测报告》，磨毛机循环用水量为25m</w:t>
            </w:r>
            <w:r>
              <w:rPr>
                <w:rFonts w:hint="eastAsia"/>
                <w:color w:val="auto"/>
                <w:vertAlign w:val="superscript"/>
              </w:rPr>
              <w:t>3</w:t>
            </w:r>
            <w:r>
              <w:rPr>
                <w:rFonts w:hint="eastAsia"/>
                <w:color w:val="auto"/>
              </w:rPr>
              <w:t>/d，损耗量为5m</w:t>
            </w:r>
            <w:r>
              <w:rPr>
                <w:rFonts w:hint="eastAsia"/>
                <w:color w:val="auto"/>
                <w:vertAlign w:val="superscript"/>
              </w:rPr>
              <w:t>3</w:t>
            </w:r>
            <w:r>
              <w:rPr>
                <w:rFonts w:hint="eastAsia"/>
                <w:color w:val="auto"/>
              </w:rPr>
              <w:t>/d，损耗率约为20%</w:t>
            </w:r>
            <w:r>
              <w:rPr>
                <w:rFonts w:hint="eastAsia"/>
                <w:color w:val="auto"/>
                <w:lang w:eastAsia="zh-CN"/>
              </w:rPr>
              <w:t>。</w:t>
            </w:r>
            <w:r>
              <w:rPr>
                <w:rFonts w:hint="eastAsia"/>
                <w:color w:val="auto"/>
              </w:rPr>
              <w:t>因此</w:t>
            </w:r>
            <w:r>
              <w:rPr>
                <w:rFonts w:hint="eastAsia"/>
                <w:color w:val="auto"/>
                <w:lang w:eastAsia="zh-CN"/>
              </w:rPr>
              <w:t>，</w:t>
            </w:r>
            <w:r>
              <w:rPr>
                <w:rFonts w:hint="eastAsia"/>
                <w:color w:val="auto"/>
              </w:rPr>
              <w:t>本项目磨毛用水损耗率按20%计，则损耗水量为1200m</w:t>
            </w:r>
            <w:r>
              <w:rPr>
                <w:rFonts w:hint="eastAsia"/>
                <w:color w:val="auto"/>
                <w:vertAlign w:val="superscript"/>
              </w:rPr>
              <w:t>3</w:t>
            </w:r>
            <w:r>
              <w:rPr>
                <w:rFonts w:hint="eastAsia"/>
                <w:color w:val="auto"/>
              </w:rPr>
              <w:t>/a，补充损耗水量即可。</w:t>
            </w:r>
          </w:p>
          <w:p w14:paraId="0356AC33">
            <w:pPr>
              <w:pStyle w:val="47"/>
              <w:ind w:firstLine="482"/>
              <w:rPr>
                <w:b/>
                <w:bCs/>
                <w:color w:val="auto"/>
              </w:rPr>
            </w:pPr>
            <w:r>
              <w:rPr>
                <w:b/>
                <w:bCs/>
                <w:color w:val="auto"/>
              </w:rPr>
              <w:t>8、厂区平面布置及周边环境概况</w:t>
            </w:r>
          </w:p>
          <w:p w14:paraId="7F2B5C3D">
            <w:pPr>
              <w:pStyle w:val="47"/>
              <w:ind w:firstLine="480"/>
              <w:rPr>
                <w:color w:val="auto"/>
              </w:rPr>
            </w:pPr>
            <w:r>
              <w:rPr>
                <w:color w:val="auto"/>
              </w:rPr>
              <w:t>本项目位于泗阳县新袁镇广州路28号，厂区东侧为</w:t>
            </w:r>
            <w:r>
              <w:rPr>
                <w:rFonts w:hint="eastAsia"/>
                <w:color w:val="auto"/>
              </w:rPr>
              <w:t>空地</w:t>
            </w:r>
            <w:r>
              <w:rPr>
                <w:color w:val="auto"/>
              </w:rPr>
              <w:t>、南侧为</w:t>
            </w:r>
            <w:r>
              <w:rPr>
                <w:rFonts w:hint="eastAsia"/>
                <w:color w:val="auto"/>
              </w:rPr>
              <w:t>高湾引河</w:t>
            </w:r>
            <w:r>
              <w:rPr>
                <w:color w:val="auto"/>
              </w:rPr>
              <w:t>、西侧为</w:t>
            </w:r>
            <w:r>
              <w:rPr>
                <w:rFonts w:hint="eastAsia"/>
                <w:color w:val="auto"/>
              </w:rPr>
              <w:t>红蜘蛛宿迁针织品有限公司</w:t>
            </w:r>
            <w:r>
              <w:rPr>
                <w:color w:val="auto"/>
              </w:rPr>
              <w:t>、北侧为</w:t>
            </w:r>
            <w:r>
              <w:rPr>
                <w:rFonts w:hint="eastAsia"/>
                <w:color w:val="auto"/>
              </w:rPr>
              <w:t>中力智造科技（江苏）有限公司</w:t>
            </w:r>
            <w:r>
              <w:rPr>
                <w:color w:val="auto"/>
              </w:rPr>
              <w:t>。项目地理位置见附图1，项目周边概况见附图2。</w:t>
            </w:r>
          </w:p>
          <w:p w14:paraId="4BFD1D8D">
            <w:pPr>
              <w:pStyle w:val="47"/>
              <w:ind w:firstLine="480"/>
              <w:rPr>
                <w:color w:val="auto"/>
              </w:rPr>
            </w:pPr>
            <w:r>
              <w:rPr>
                <w:color w:val="auto"/>
              </w:rPr>
              <w:t>本项目厂区呈长方形。厂区北侧出入口靠近</w:t>
            </w:r>
            <w:r>
              <w:rPr>
                <w:rFonts w:hint="eastAsia"/>
                <w:color w:val="auto"/>
              </w:rPr>
              <w:t>赵高路</w:t>
            </w:r>
            <w:r>
              <w:rPr>
                <w:color w:val="auto"/>
              </w:rPr>
              <w:t>。1#厂房位于</w:t>
            </w:r>
            <w:r>
              <w:rPr>
                <w:rFonts w:hint="eastAsia"/>
                <w:color w:val="auto"/>
              </w:rPr>
              <w:t>厂区</w:t>
            </w:r>
            <w:r>
              <w:rPr>
                <w:color w:val="auto"/>
              </w:rPr>
              <w:t>西侧、2#厂房位于</w:t>
            </w:r>
            <w:r>
              <w:rPr>
                <w:rFonts w:hint="eastAsia"/>
                <w:color w:val="auto"/>
              </w:rPr>
              <w:t>厂区</w:t>
            </w:r>
            <w:r>
              <w:rPr>
                <w:color w:val="auto"/>
              </w:rPr>
              <w:t>东侧、综合楼位于</w:t>
            </w:r>
            <w:r>
              <w:rPr>
                <w:rFonts w:hint="eastAsia"/>
                <w:color w:val="auto"/>
              </w:rPr>
              <w:t>厂区</w:t>
            </w:r>
            <w:r>
              <w:rPr>
                <w:color w:val="auto"/>
              </w:rPr>
              <w:t>东北侧、一般固废库和危废暂存间位于厂区</w:t>
            </w:r>
            <w:r>
              <w:rPr>
                <w:rFonts w:hint="eastAsia"/>
                <w:color w:val="auto"/>
              </w:rPr>
              <w:t>东南</w:t>
            </w:r>
            <w:r>
              <w:rPr>
                <w:color w:val="auto"/>
              </w:rPr>
              <w:t>侧。项目平面布局不仅考虑生产各功能区单独使用功能，还考虑整个项目各功能区间的相互联系，以满足工艺要求为前提，满足物料输送尽可能顺畅、方便，同时考虑节约用地、环保等各方面的要求。项目总平面布置合理规范，符合实际生产要求。项目厂区平面布置详见附图4。</w:t>
            </w:r>
          </w:p>
        </w:tc>
      </w:tr>
      <w:tr w14:paraId="0920D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65" w:type="dxa"/>
            <w:vAlign w:val="center"/>
          </w:tcPr>
          <w:p w14:paraId="0D767A75">
            <w:pPr>
              <w:pStyle w:val="47"/>
              <w:spacing w:line="240" w:lineRule="auto"/>
              <w:ind w:firstLine="0" w:firstLineChars="0"/>
              <w:jc w:val="center"/>
              <w:rPr>
                <w:color w:val="auto"/>
              </w:rPr>
            </w:pPr>
            <w:r>
              <w:rPr>
                <w:color w:val="auto"/>
              </w:rPr>
              <w:t>工艺流程和产排污环节</w:t>
            </w:r>
          </w:p>
        </w:tc>
        <w:tc>
          <w:tcPr>
            <w:tcW w:w="8659" w:type="dxa"/>
          </w:tcPr>
          <w:p w14:paraId="423DF4DB">
            <w:pPr>
              <w:pStyle w:val="47"/>
              <w:ind w:firstLine="482"/>
              <w:rPr>
                <w:b/>
                <w:bCs/>
                <w:color w:val="auto"/>
              </w:rPr>
            </w:pPr>
            <w:r>
              <w:rPr>
                <w:b/>
                <w:bCs/>
                <w:color w:val="auto"/>
              </w:rPr>
              <w:t>1、施工期</w:t>
            </w:r>
          </w:p>
          <w:p w14:paraId="6939BA4A">
            <w:pPr>
              <w:pStyle w:val="47"/>
              <w:ind w:firstLine="480"/>
              <w:rPr>
                <w:color w:val="auto"/>
              </w:rPr>
            </w:pPr>
            <w:r>
              <w:rPr>
                <w:color w:val="auto"/>
              </w:rPr>
              <w:t>本项目施工期</w:t>
            </w:r>
            <w:r>
              <w:rPr>
                <w:rFonts w:hint="eastAsia"/>
                <w:color w:val="auto"/>
              </w:rPr>
              <w:t>12</w:t>
            </w:r>
            <w:r>
              <w:rPr>
                <w:color w:val="auto"/>
              </w:rPr>
              <w:t>个月，施工期需先进行场地平整，场地平整主要是对场地进行开挖或填平场地，场地完成平整后开始开挖地基进行主体及附属设施工程建设，主体建设完成后进行设备安装。项目建设不同施工阶段的主要大气污染源和污染物有噪声、扬尘、建筑垃圾和施工废水，如</w:t>
            </w:r>
            <w:r>
              <w:rPr>
                <w:color w:val="auto"/>
              </w:rPr>
              <w:fldChar w:fldCharType="begin"/>
            </w:r>
            <w:r>
              <w:rPr>
                <w:color w:val="auto"/>
              </w:rPr>
              <w:instrText xml:space="preserve"> REF _Ref4258 \h </w:instrText>
            </w:r>
            <w:r>
              <w:rPr>
                <w:color w:val="auto"/>
              </w:rPr>
              <w:fldChar w:fldCharType="separate"/>
            </w:r>
            <w:r>
              <w:rPr>
                <w:color w:val="auto"/>
              </w:rPr>
              <w:t>图2- 2</w:t>
            </w:r>
            <w:r>
              <w:rPr>
                <w:color w:val="auto"/>
              </w:rPr>
              <w:fldChar w:fldCharType="end"/>
            </w:r>
            <w:r>
              <w:rPr>
                <w:color w:val="auto"/>
              </w:rPr>
              <w:t>所示。</w:t>
            </w:r>
          </w:p>
          <w:p w14:paraId="64D7AC3F">
            <w:pPr>
              <w:pStyle w:val="7"/>
              <w:rPr>
                <w:color w:val="auto"/>
              </w:rPr>
            </w:pPr>
            <w:r>
              <w:rPr>
                <w:color w:val="auto"/>
              </w:rPr>
              <w:drawing>
                <wp:inline distT="0" distB="0" distL="114300" distR="114300">
                  <wp:extent cx="4716145" cy="1187450"/>
                  <wp:effectExtent l="0" t="0" r="8255" b="12700"/>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1"/>
                          </pic:cNvPicPr>
                        </pic:nvPicPr>
                        <pic:blipFill>
                          <a:blip r:embed="rId11"/>
                          <a:srcRect t="7300" b="5243"/>
                          <a:stretch>
                            <a:fillRect/>
                          </a:stretch>
                        </pic:blipFill>
                        <pic:spPr>
                          <a:xfrm>
                            <a:off x="0" y="0"/>
                            <a:ext cx="4716145" cy="1187450"/>
                          </a:xfrm>
                          <a:prstGeom prst="rect">
                            <a:avLst/>
                          </a:prstGeom>
                          <a:noFill/>
                          <a:ln>
                            <a:noFill/>
                          </a:ln>
                        </pic:spPr>
                      </pic:pic>
                    </a:graphicData>
                  </a:graphic>
                </wp:inline>
              </w:drawing>
            </w:r>
          </w:p>
          <w:p w14:paraId="45A21572">
            <w:pPr>
              <w:pStyle w:val="7"/>
              <w:rPr>
                <w:color w:val="auto"/>
              </w:rPr>
            </w:pPr>
            <w:bookmarkStart w:id="33" w:name="_Ref4258"/>
            <w:r>
              <w:rPr>
                <w:color w:val="auto"/>
              </w:rPr>
              <w:t xml:space="preserve">图2- </w:t>
            </w:r>
            <w:r>
              <w:rPr>
                <w:color w:val="auto"/>
              </w:rPr>
              <w:fldChar w:fldCharType="begin"/>
            </w:r>
            <w:r>
              <w:rPr>
                <w:color w:val="auto"/>
              </w:rPr>
              <w:instrText xml:space="preserve"> SEQ 图2- \* ARABIC </w:instrText>
            </w:r>
            <w:r>
              <w:rPr>
                <w:color w:val="auto"/>
              </w:rPr>
              <w:fldChar w:fldCharType="separate"/>
            </w:r>
            <w:r>
              <w:rPr>
                <w:color w:val="auto"/>
              </w:rPr>
              <w:t>2</w:t>
            </w:r>
            <w:r>
              <w:rPr>
                <w:color w:val="auto"/>
              </w:rPr>
              <w:fldChar w:fldCharType="end"/>
            </w:r>
            <w:bookmarkEnd w:id="33"/>
            <w:r>
              <w:rPr>
                <w:color w:val="auto"/>
              </w:rPr>
              <w:t xml:space="preserve"> 施工工艺流程及产污环节图</w:t>
            </w:r>
          </w:p>
          <w:p w14:paraId="02BBABE0">
            <w:pPr>
              <w:pStyle w:val="47"/>
              <w:ind w:firstLine="482"/>
              <w:rPr>
                <w:b/>
                <w:bCs/>
                <w:color w:val="auto"/>
              </w:rPr>
            </w:pPr>
            <w:r>
              <w:rPr>
                <w:b/>
                <w:bCs/>
                <w:color w:val="auto"/>
              </w:rPr>
              <w:t>2、生产工艺流程及产污环节图</w:t>
            </w:r>
          </w:p>
          <w:p w14:paraId="346A7239">
            <w:pPr>
              <w:pStyle w:val="47"/>
              <w:ind w:firstLine="480"/>
              <w:rPr>
                <w:color w:val="auto"/>
              </w:rPr>
            </w:pPr>
            <w:r>
              <w:rPr>
                <w:color w:val="auto"/>
              </w:rPr>
              <w:t>本项目运营期生产工艺及流程如</w:t>
            </w:r>
            <w:r>
              <w:rPr>
                <w:color w:val="auto"/>
              </w:rPr>
              <w:fldChar w:fldCharType="begin"/>
            </w:r>
            <w:r>
              <w:rPr>
                <w:color w:val="auto"/>
              </w:rPr>
              <w:instrText xml:space="preserve"> REF _Ref4330 \h </w:instrText>
            </w:r>
            <w:r>
              <w:rPr>
                <w:color w:val="auto"/>
              </w:rPr>
              <w:fldChar w:fldCharType="separate"/>
            </w:r>
            <w:r>
              <w:rPr>
                <w:color w:val="auto"/>
              </w:rPr>
              <w:t>图2- 3</w:t>
            </w:r>
            <w:r>
              <w:rPr>
                <w:color w:val="auto"/>
              </w:rPr>
              <w:fldChar w:fldCharType="end"/>
            </w:r>
            <w:r>
              <w:rPr>
                <w:color w:val="auto"/>
              </w:rPr>
              <w:t>。</w:t>
            </w:r>
          </w:p>
          <w:p w14:paraId="26D9009E">
            <w:pPr>
              <w:pStyle w:val="7"/>
              <w:rPr>
                <w:color w:val="auto"/>
              </w:rPr>
            </w:pPr>
            <w:r>
              <w:rPr>
                <w:color w:val="auto"/>
              </w:rPr>
              <w:drawing>
                <wp:inline distT="0" distB="0" distL="114300" distR="114300">
                  <wp:extent cx="3131820" cy="6238875"/>
                  <wp:effectExtent l="0" t="0" r="11430" b="0"/>
                  <wp:docPr id="1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pic:cNvPicPr>
                            <a:picLocks noChangeAspect="1"/>
                          </pic:cNvPicPr>
                        </pic:nvPicPr>
                        <pic:blipFill>
                          <a:blip r:embed="rId12"/>
                          <a:srcRect b="-984"/>
                          <a:stretch>
                            <a:fillRect/>
                          </a:stretch>
                        </pic:blipFill>
                        <pic:spPr>
                          <a:xfrm>
                            <a:off x="0" y="0"/>
                            <a:ext cx="3131820" cy="6238875"/>
                          </a:xfrm>
                          <a:prstGeom prst="rect">
                            <a:avLst/>
                          </a:prstGeom>
                          <a:noFill/>
                          <a:ln>
                            <a:noFill/>
                          </a:ln>
                        </pic:spPr>
                      </pic:pic>
                    </a:graphicData>
                  </a:graphic>
                </wp:inline>
              </w:drawing>
            </w:r>
          </w:p>
          <w:p w14:paraId="7F479858">
            <w:pPr>
              <w:pStyle w:val="7"/>
              <w:rPr>
                <w:color w:val="auto"/>
              </w:rPr>
            </w:pPr>
            <w:bookmarkStart w:id="34" w:name="_Ref4330"/>
            <w:r>
              <w:rPr>
                <w:color w:val="auto"/>
              </w:rPr>
              <w:t xml:space="preserve">图2- </w:t>
            </w:r>
            <w:r>
              <w:rPr>
                <w:color w:val="auto"/>
              </w:rPr>
              <w:fldChar w:fldCharType="begin"/>
            </w:r>
            <w:r>
              <w:rPr>
                <w:color w:val="auto"/>
              </w:rPr>
              <w:instrText xml:space="preserve"> SEQ 图2- \* ARABIC </w:instrText>
            </w:r>
            <w:r>
              <w:rPr>
                <w:color w:val="auto"/>
              </w:rPr>
              <w:fldChar w:fldCharType="separate"/>
            </w:r>
            <w:r>
              <w:rPr>
                <w:color w:val="auto"/>
              </w:rPr>
              <w:t>3</w:t>
            </w:r>
            <w:r>
              <w:rPr>
                <w:color w:val="auto"/>
              </w:rPr>
              <w:fldChar w:fldCharType="end"/>
            </w:r>
            <w:bookmarkEnd w:id="34"/>
            <w:r>
              <w:rPr>
                <w:color w:val="auto"/>
              </w:rPr>
              <w:t xml:space="preserve"> 生产工艺流程及产污环节图</w:t>
            </w:r>
          </w:p>
          <w:p w14:paraId="7E0E2F74">
            <w:pPr>
              <w:pStyle w:val="47"/>
              <w:ind w:firstLine="482"/>
              <w:rPr>
                <w:b/>
                <w:bCs/>
                <w:color w:val="auto"/>
              </w:rPr>
            </w:pPr>
            <w:r>
              <w:rPr>
                <w:b/>
                <w:bCs/>
                <w:color w:val="auto"/>
              </w:rPr>
              <w:t>生产工艺流程简述：</w:t>
            </w:r>
          </w:p>
          <w:p w14:paraId="65A4DB78">
            <w:pPr>
              <w:pStyle w:val="47"/>
              <w:ind w:firstLine="482"/>
              <w:rPr>
                <w:b/>
                <w:bCs/>
                <w:color w:val="auto"/>
              </w:rPr>
            </w:pPr>
            <w:r>
              <w:rPr>
                <w:b/>
                <w:bCs/>
                <w:color w:val="auto"/>
              </w:rPr>
              <w:t>（1）</w:t>
            </w:r>
            <w:r>
              <w:rPr>
                <w:rFonts w:hint="eastAsia"/>
                <w:b/>
                <w:bCs/>
                <w:color w:val="auto"/>
              </w:rPr>
              <w:t>加弹</w:t>
            </w:r>
          </w:p>
          <w:p w14:paraId="596024BF">
            <w:pPr>
              <w:pStyle w:val="47"/>
              <w:ind w:firstLine="482"/>
              <w:rPr>
                <w:color w:val="auto"/>
              </w:rPr>
            </w:pPr>
            <w:r>
              <w:rPr>
                <w:rFonts w:hint="eastAsia"/>
                <w:b/>
                <w:bCs/>
                <w:color w:val="auto"/>
              </w:rPr>
              <w:t>①第一罗拉</w:t>
            </w:r>
            <w:r>
              <w:rPr>
                <w:rFonts w:hint="eastAsia"/>
                <w:color w:val="auto"/>
              </w:rPr>
              <w:t>：外购POY丝经第一罗拉（第一次物理变形）使得POY丝变得蓬松、有弹性。该过程会产生废丝。</w:t>
            </w:r>
          </w:p>
          <w:p w14:paraId="04C5C1CC">
            <w:pPr>
              <w:pStyle w:val="47"/>
              <w:ind w:firstLine="482"/>
              <w:rPr>
                <w:color w:val="auto"/>
              </w:rPr>
            </w:pPr>
            <w:r>
              <w:rPr>
                <w:rFonts w:hint="eastAsia"/>
                <w:b/>
                <w:bCs/>
                <w:color w:val="auto"/>
              </w:rPr>
              <w:t>②上热箱、冷却</w:t>
            </w:r>
            <w:r>
              <w:rPr>
                <w:rFonts w:hint="eastAsia"/>
                <w:color w:val="auto"/>
              </w:rPr>
              <w:t>：</w:t>
            </w:r>
            <w:r>
              <w:rPr>
                <w:color w:val="auto"/>
              </w:rPr>
              <w:t>通过上热箱（温度控制在170℃~210℃）加热定型POY预取向丝，使上一工序的物理形变固定下来，然后进行</w:t>
            </w:r>
            <w:r>
              <w:rPr>
                <w:rFonts w:hint="eastAsia"/>
                <w:color w:val="auto"/>
              </w:rPr>
              <w:t>自然</w:t>
            </w:r>
            <w:r>
              <w:rPr>
                <w:color w:val="auto"/>
              </w:rPr>
              <w:t>冷却。上热箱加热原理是对热箱中密封导热油进行电加热，导热油在密封细管中循环，加热密封细管外金属丝道，涤纶丝与丝道直接接触，不与导热油接触。</w:t>
            </w:r>
            <w:r>
              <w:rPr>
                <w:rFonts w:hint="eastAsia"/>
                <w:color w:val="auto"/>
              </w:rPr>
              <w:t>该过程POY预取向表面油剂受热挥发产生加弹废气，以非甲烷总烃计。</w:t>
            </w:r>
          </w:p>
          <w:p w14:paraId="666FF494">
            <w:pPr>
              <w:pStyle w:val="47"/>
              <w:ind w:firstLine="482"/>
              <w:rPr>
                <w:color w:val="auto"/>
              </w:rPr>
            </w:pPr>
            <w:r>
              <w:rPr>
                <w:rFonts w:hint="eastAsia"/>
                <w:b/>
                <w:bCs/>
                <w:color w:val="auto"/>
              </w:rPr>
              <w:t>③假捻</w:t>
            </w:r>
            <w:r>
              <w:rPr>
                <w:rFonts w:hint="eastAsia"/>
                <w:color w:val="auto"/>
              </w:rPr>
              <w:t>：通过假捻器固定丝的两端，握住其中间加以旋转，在握持上、下两端的丝条捻向相反、捻数相同，整根丝论度为零。丝条以一定的速度（v）运行，在握持点前的捻数为（n/v），在握持点后，向相反捻向（n/v）移动，则握持点后区域内的捻度为零。假捻以减少纺丝的包缠纤维，防止纺丝起毛。该过程会产生废丝。</w:t>
            </w:r>
          </w:p>
          <w:p w14:paraId="32074A76">
            <w:pPr>
              <w:pStyle w:val="47"/>
              <w:ind w:firstLine="482"/>
              <w:rPr>
                <w:color w:val="auto"/>
              </w:rPr>
            </w:pPr>
            <w:r>
              <w:rPr>
                <w:rFonts w:hint="eastAsia"/>
                <w:b/>
                <w:bCs/>
                <w:color w:val="auto"/>
              </w:rPr>
              <w:t>④第二罗拉</w:t>
            </w:r>
            <w:r>
              <w:rPr>
                <w:rFonts w:hint="eastAsia"/>
                <w:color w:val="auto"/>
              </w:rPr>
              <w:t>：进入第二罗拉进行二次变形，使一次定型的POY丝再次变得蓬松、有弹性。</w:t>
            </w:r>
          </w:p>
          <w:p w14:paraId="640FC228">
            <w:pPr>
              <w:pStyle w:val="47"/>
              <w:ind w:firstLine="482"/>
              <w:rPr>
                <w:color w:val="auto"/>
              </w:rPr>
            </w:pPr>
            <w:r>
              <w:rPr>
                <w:rFonts w:hint="eastAsia"/>
                <w:b/>
                <w:bCs/>
                <w:color w:val="auto"/>
              </w:rPr>
              <w:t>⑤下热箱</w:t>
            </w:r>
            <w:r>
              <w:rPr>
                <w:color w:val="auto"/>
              </w:rPr>
              <w:t>：通过下热箱（温度控制在170℃~210℃）进行二次加热定型，使上一工序物理形变固定下来。下热箱加热原理和上热箱一致。该过程POY预取向表面油剂受热挥发产生加弹废气，以非甲烷总烃计。</w:t>
            </w:r>
          </w:p>
          <w:p w14:paraId="5A9264BE">
            <w:pPr>
              <w:pStyle w:val="47"/>
              <w:ind w:firstLine="482"/>
              <w:rPr>
                <w:color w:val="auto"/>
              </w:rPr>
            </w:pPr>
            <w:r>
              <w:rPr>
                <w:rFonts w:hint="eastAsia"/>
                <w:b/>
                <w:bCs/>
                <w:color w:val="auto"/>
              </w:rPr>
              <w:t>⑥上油、绕卷成型</w:t>
            </w:r>
            <w:r>
              <w:rPr>
                <w:rFonts w:hint="eastAsia"/>
                <w:color w:val="auto"/>
              </w:rPr>
              <w:t>：因为加热定型过程中油剂挥发，POY丝含油率下降，因此需要通过上油辊再次上油，接着进行卷绕。该过程油剂挥发会产生油雾废气，以非甲烷总烃计。</w:t>
            </w:r>
          </w:p>
          <w:p w14:paraId="7498368C">
            <w:pPr>
              <w:pStyle w:val="47"/>
              <w:ind w:firstLine="480"/>
              <w:rPr>
                <w:b/>
                <w:bCs/>
                <w:color w:val="auto"/>
              </w:rPr>
            </w:pPr>
            <w:r>
              <w:rPr>
                <w:rFonts w:hint="eastAsia"/>
                <w:color w:val="auto"/>
              </w:rPr>
              <w:t>以上工序均在加弹机中完成，该工序会产生废丝、加弹废气、设备噪声。</w:t>
            </w:r>
          </w:p>
          <w:p w14:paraId="64754606">
            <w:pPr>
              <w:pStyle w:val="47"/>
              <w:ind w:firstLine="482"/>
              <w:rPr>
                <w:b/>
                <w:bCs/>
                <w:color w:val="auto"/>
              </w:rPr>
            </w:pPr>
            <w:r>
              <w:rPr>
                <w:rFonts w:hint="eastAsia"/>
                <w:b/>
                <w:bCs/>
                <w:color w:val="auto"/>
              </w:rPr>
              <w:t>（2）整经</w:t>
            </w:r>
          </w:p>
          <w:p w14:paraId="16533299">
            <w:pPr>
              <w:pStyle w:val="47"/>
              <w:ind w:firstLine="480"/>
              <w:rPr>
                <w:color w:val="auto"/>
              </w:rPr>
            </w:pPr>
            <w:r>
              <w:rPr>
                <w:rFonts w:hint="eastAsia"/>
                <w:color w:val="auto"/>
              </w:rPr>
              <w:t>按所需要的经纱根数与长度，将简子纱在相同张力下平行、等速、整齐地卷绕成经轴。</w:t>
            </w:r>
          </w:p>
          <w:p w14:paraId="276F5CB2">
            <w:pPr>
              <w:pStyle w:val="47"/>
              <w:ind w:firstLine="480"/>
              <w:rPr>
                <w:color w:val="auto"/>
              </w:rPr>
            </w:pPr>
            <w:r>
              <w:rPr>
                <w:rFonts w:hint="eastAsia"/>
                <w:color w:val="auto"/>
              </w:rPr>
              <w:t>该工序会产生废丝、设备运行噪声。</w:t>
            </w:r>
          </w:p>
          <w:p w14:paraId="6B02CE06">
            <w:pPr>
              <w:pStyle w:val="47"/>
              <w:ind w:firstLine="482"/>
              <w:rPr>
                <w:b/>
                <w:bCs/>
                <w:color w:val="auto"/>
              </w:rPr>
            </w:pPr>
            <w:r>
              <w:rPr>
                <w:b/>
                <w:bCs/>
                <w:color w:val="auto"/>
              </w:rPr>
              <w:t>（3）</w:t>
            </w:r>
            <w:r>
              <w:rPr>
                <w:rFonts w:hint="eastAsia"/>
                <w:b/>
                <w:bCs/>
                <w:color w:val="auto"/>
              </w:rPr>
              <w:t>喷水织造</w:t>
            </w:r>
          </w:p>
          <w:p w14:paraId="3A8753E8">
            <w:pPr>
              <w:pStyle w:val="47"/>
              <w:ind w:firstLine="480"/>
              <w:rPr>
                <w:color w:val="auto"/>
              </w:rPr>
            </w:pPr>
            <w:r>
              <w:rPr>
                <w:rFonts w:hint="eastAsia"/>
                <w:color w:val="auto"/>
              </w:rPr>
              <w:t>用喷水织机进行织造，形成化纤面料。喷水织机是采用喷射水柱牵引纬纱穿过梭口的无梭织布技术，利用喷射水流对纬纱产生摩擦牵引力，使固定简子上的纬纱引入梭口。由于水的聚集性较好，喷水织机无需设置防水扩散装置。</w:t>
            </w:r>
          </w:p>
          <w:p w14:paraId="15564851">
            <w:pPr>
              <w:pStyle w:val="47"/>
              <w:ind w:firstLine="480"/>
              <w:rPr>
                <w:color w:val="auto"/>
              </w:rPr>
            </w:pPr>
            <w:r>
              <w:rPr>
                <w:rFonts w:hint="eastAsia"/>
                <w:color w:val="auto"/>
              </w:rPr>
              <w:t>该工序会产生织布废水、废丝、废布、设备运行噪声。</w:t>
            </w:r>
          </w:p>
          <w:p w14:paraId="6BBDA648">
            <w:pPr>
              <w:pStyle w:val="47"/>
              <w:ind w:firstLine="482"/>
              <w:rPr>
                <w:b/>
                <w:bCs/>
                <w:color w:val="auto"/>
              </w:rPr>
            </w:pPr>
            <w:r>
              <w:rPr>
                <w:b/>
                <w:bCs/>
                <w:color w:val="auto"/>
              </w:rPr>
              <w:t>（4）</w:t>
            </w:r>
            <w:r>
              <w:rPr>
                <w:rFonts w:hint="eastAsia"/>
                <w:b/>
                <w:bCs/>
                <w:color w:val="auto"/>
              </w:rPr>
              <w:t>磨毛</w:t>
            </w:r>
          </w:p>
          <w:p w14:paraId="74AFEE71">
            <w:pPr>
              <w:pStyle w:val="47"/>
              <w:ind w:firstLine="480"/>
              <w:rPr>
                <w:color w:val="auto"/>
              </w:rPr>
            </w:pPr>
            <w:r>
              <w:rPr>
                <w:rFonts w:hint="eastAsia"/>
                <w:color w:val="auto"/>
              </w:rPr>
              <w:t>经过高速旋转的磨毛机摩擦作用，使织物表面产生一层短而稠密的绒毛，进一步改善手感及均匀性、提高细绒密度。本项目采用湿式磨毛工艺，磨毛水循环使用，定期打捞废磨毛料、补充损耗水。</w:t>
            </w:r>
          </w:p>
          <w:p w14:paraId="5A26503F">
            <w:pPr>
              <w:pStyle w:val="47"/>
              <w:ind w:firstLine="480"/>
              <w:rPr>
                <w:color w:val="auto"/>
              </w:rPr>
            </w:pPr>
            <w:r>
              <w:rPr>
                <w:rFonts w:hint="eastAsia"/>
                <w:color w:val="auto"/>
              </w:rPr>
              <w:t>该工序会产生废磨毛料、设备运行噪声。</w:t>
            </w:r>
          </w:p>
          <w:p w14:paraId="33526A24">
            <w:pPr>
              <w:pStyle w:val="47"/>
              <w:ind w:firstLine="482"/>
              <w:rPr>
                <w:b/>
                <w:bCs/>
                <w:color w:val="auto"/>
              </w:rPr>
            </w:pPr>
            <w:r>
              <w:rPr>
                <w:rFonts w:hint="eastAsia"/>
                <w:b/>
                <w:bCs/>
                <w:color w:val="auto"/>
              </w:rPr>
              <w:t>（5）验布</w:t>
            </w:r>
          </w:p>
          <w:p w14:paraId="1F9CFA58">
            <w:pPr>
              <w:pStyle w:val="47"/>
              <w:ind w:firstLine="480"/>
              <w:rPr>
                <w:color w:val="auto"/>
              </w:rPr>
            </w:pPr>
            <w:r>
              <w:rPr>
                <w:rFonts w:hint="eastAsia"/>
                <w:color w:val="auto"/>
              </w:rPr>
              <w:t>对化纤面料进行检验，检验合格打卷入库待售。</w:t>
            </w:r>
          </w:p>
          <w:p w14:paraId="30B898CB">
            <w:pPr>
              <w:pStyle w:val="47"/>
              <w:ind w:firstLine="480"/>
              <w:rPr>
                <w:color w:val="auto"/>
              </w:rPr>
            </w:pPr>
            <w:r>
              <w:rPr>
                <w:rFonts w:hint="eastAsia"/>
                <w:color w:val="auto"/>
              </w:rPr>
              <w:t>该工序会产生废布。</w:t>
            </w:r>
          </w:p>
          <w:p w14:paraId="552631E4">
            <w:pPr>
              <w:pStyle w:val="47"/>
              <w:ind w:firstLine="482"/>
              <w:rPr>
                <w:b/>
                <w:bCs/>
                <w:color w:val="auto"/>
              </w:rPr>
            </w:pPr>
            <w:r>
              <w:rPr>
                <w:b/>
                <w:bCs/>
                <w:color w:val="auto"/>
              </w:rPr>
              <w:t>产排污环节：</w:t>
            </w:r>
          </w:p>
          <w:p w14:paraId="62C0ED48">
            <w:pPr>
              <w:pStyle w:val="47"/>
              <w:ind w:firstLine="480"/>
              <w:rPr>
                <w:color w:val="auto"/>
              </w:rPr>
            </w:pPr>
            <w:r>
              <w:rPr>
                <w:color w:val="auto"/>
              </w:rPr>
              <w:t>本项目生产过程中主要产排污环节见</w:t>
            </w:r>
            <w:r>
              <w:rPr>
                <w:color w:val="auto"/>
              </w:rPr>
              <w:fldChar w:fldCharType="begin"/>
            </w:r>
            <w:r>
              <w:rPr>
                <w:color w:val="auto"/>
              </w:rPr>
              <w:instrText xml:space="preserve"> REF _Ref31681 \h </w:instrText>
            </w:r>
            <w:r>
              <w:rPr>
                <w:color w:val="auto"/>
              </w:rPr>
              <w:fldChar w:fldCharType="separate"/>
            </w:r>
            <w:r>
              <w:rPr>
                <w:color w:val="auto"/>
              </w:rPr>
              <w:t>表2- 8</w:t>
            </w:r>
            <w:r>
              <w:rPr>
                <w:color w:val="auto"/>
              </w:rPr>
              <w:fldChar w:fldCharType="end"/>
            </w:r>
            <w:r>
              <w:rPr>
                <w:color w:val="auto"/>
              </w:rPr>
              <w:t>。</w:t>
            </w:r>
          </w:p>
          <w:p w14:paraId="308B9FA6">
            <w:pPr>
              <w:pStyle w:val="7"/>
              <w:rPr>
                <w:color w:val="auto"/>
              </w:rPr>
            </w:pPr>
            <w:bookmarkStart w:id="35" w:name="_Ref31681"/>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8</w:t>
            </w:r>
            <w:r>
              <w:rPr>
                <w:color w:val="auto"/>
              </w:rPr>
              <w:fldChar w:fldCharType="end"/>
            </w:r>
            <w:bookmarkEnd w:id="35"/>
            <w:r>
              <w:rPr>
                <w:color w:val="auto"/>
              </w:rPr>
              <w:t xml:space="preserve"> 生产产污环节及污染因子一览表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1396"/>
              <w:gridCol w:w="1268"/>
              <w:gridCol w:w="1636"/>
              <w:gridCol w:w="3228"/>
              <w:gridCol w:w="494"/>
            </w:tblGrid>
            <w:tr w14:paraId="47E3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jc w:val="center"/>
              </w:trPr>
              <w:tc>
                <w:tcPr>
                  <w:tcW w:w="243" w:type="pct"/>
                  <w:vAlign w:val="center"/>
                </w:tcPr>
                <w:p w14:paraId="10CE6D1D">
                  <w:pPr>
                    <w:pStyle w:val="49"/>
                    <w:rPr>
                      <w:color w:val="auto"/>
                    </w:rPr>
                  </w:pPr>
                  <w:r>
                    <w:rPr>
                      <w:color w:val="auto"/>
                    </w:rPr>
                    <w:t>类别</w:t>
                  </w:r>
                </w:p>
              </w:tc>
              <w:tc>
                <w:tcPr>
                  <w:tcW w:w="827" w:type="pct"/>
                  <w:vAlign w:val="center"/>
                </w:tcPr>
                <w:p w14:paraId="785AFE59">
                  <w:pPr>
                    <w:pStyle w:val="49"/>
                    <w:rPr>
                      <w:color w:val="auto"/>
                    </w:rPr>
                  </w:pPr>
                  <w:r>
                    <w:rPr>
                      <w:color w:val="auto"/>
                    </w:rPr>
                    <w:t>污染源</w:t>
                  </w:r>
                </w:p>
                <w:p w14:paraId="24F6B1B3">
                  <w:pPr>
                    <w:pStyle w:val="49"/>
                    <w:rPr>
                      <w:color w:val="auto"/>
                    </w:rPr>
                  </w:pPr>
                  <w:r>
                    <w:rPr>
                      <w:color w:val="auto"/>
                    </w:rPr>
                    <w:t>名称</w:t>
                  </w:r>
                </w:p>
              </w:tc>
              <w:tc>
                <w:tcPr>
                  <w:tcW w:w="751" w:type="pct"/>
                  <w:vAlign w:val="center"/>
                </w:tcPr>
                <w:p w14:paraId="0FBD6050">
                  <w:pPr>
                    <w:pStyle w:val="49"/>
                    <w:rPr>
                      <w:color w:val="auto"/>
                    </w:rPr>
                  </w:pPr>
                  <w:r>
                    <w:rPr>
                      <w:color w:val="auto"/>
                    </w:rPr>
                    <w:t>工段</w:t>
                  </w:r>
                </w:p>
              </w:tc>
              <w:tc>
                <w:tcPr>
                  <w:tcW w:w="969" w:type="pct"/>
                  <w:vAlign w:val="center"/>
                </w:tcPr>
                <w:p w14:paraId="3FB85CD9">
                  <w:pPr>
                    <w:pStyle w:val="49"/>
                    <w:rPr>
                      <w:color w:val="auto"/>
                    </w:rPr>
                  </w:pPr>
                  <w:r>
                    <w:rPr>
                      <w:color w:val="auto"/>
                    </w:rPr>
                    <w:t>主要污染物</w:t>
                  </w:r>
                </w:p>
              </w:tc>
              <w:tc>
                <w:tcPr>
                  <w:tcW w:w="1913" w:type="pct"/>
                  <w:vAlign w:val="center"/>
                </w:tcPr>
                <w:p w14:paraId="231332A3">
                  <w:pPr>
                    <w:pStyle w:val="49"/>
                    <w:rPr>
                      <w:color w:val="auto"/>
                    </w:rPr>
                  </w:pPr>
                  <w:r>
                    <w:rPr>
                      <w:color w:val="auto"/>
                    </w:rPr>
                    <w:t>治理措施</w:t>
                  </w:r>
                </w:p>
              </w:tc>
              <w:tc>
                <w:tcPr>
                  <w:tcW w:w="292" w:type="pct"/>
                  <w:vAlign w:val="center"/>
                </w:tcPr>
                <w:p w14:paraId="0800CB20">
                  <w:pPr>
                    <w:pStyle w:val="49"/>
                    <w:rPr>
                      <w:color w:val="auto"/>
                    </w:rPr>
                  </w:pPr>
                  <w:r>
                    <w:rPr>
                      <w:color w:val="auto"/>
                    </w:rPr>
                    <w:t>备注</w:t>
                  </w:r>
                </w:p>
              </w:tc>
            </w:tr>
            <w:tr w14:paraId="30B5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43" w:type="pct"/>
                  <w:vMerge w:val="restart"/>
                  <w:vAlign w:val="center"/>
                </w:tcPr>
                <w:p w14:paraId="272EA5A0">
                  <w:pPr>
                    <w:pStyle w:val="51"/>
                    <w:rPr>
                      <w:color w:val="auto"/>
                    </w:rPr>
                  </w:pPr>
                  <w:r>
                    <w:rPr>
                      <w:color w:val="auto"/>
                    </w:rPr>
                    <w:t>废气</w:t>
                  </w:r>
                </w:p>
              </w:tc>
              <w:tc>
                <w:tcPr>
                  <w:tcW w:w="827" w:type="pct"/>
                  <w:vAlign w:val="center"/>
                </w:tcPr>
                <w:p w14:paraId="0D075E8F">
                  <w:pPr>
                    <w:pStyle w:val="51"/>
                    <w:rPr>
                      <w:color w:val="auto"/>
                    </w:rPr>
                  </w:pPr>
                  <w:r>
                    <w:rPr>
                      <w:rFonts w:hint="eastAsia"/>
                      <w:color w:val="auto"/>
                    </w:rPr>
                    <w:t>加弹废气</w:t>
                  </w:r>
                </w:p>
              </w:tc>
              <w:tc>
                <w:tcPr>
                  <w:tcW w:w="751" w:type="pct"/>
                  <w:vAlign w:val="center"/>
                </w:tcPr>
                <w:p w14:paraId="3F120A02">
                  <w:pPr>
                    <w:pStyle w:val="51"/>
                    <w:rPr>
                      <w:color w:val="auto"/>
                    </w:rPr>
                  </w:pPr>
                  <w:r>
                    <w:rPr>
                      <w:rFonts w:hint="eastAsia"/>
                      <w:color w:val="auto"/>
                    </w:rPr>
                    <w:t>加弹</w:t>
                  </w:r>
                </w:p>
              </w:tc>
              <w:tc>
                <w:tcPr>
                  <w:tcW w:w="969" w:type="pct"/>
                  <w:vAlign w:val="center"/>
                </w:tcPr>
                <w:p w14:paraId="7FA39CFF">
                  <w:pPr>
                    <w:pStyle w:val="51"/>
                    <w:rPr>
                      <w:color w:val="auto"/>
                    </w:rPr>
                  </w:pPr>
                  <w:r>
                    <w:rPr>
                      <w:rFonts w:hint="eastAsia"/>
                      <w:color w:val="auto"/>
                    </w:rPr>
                    <w:t>非甲烷总烃</w:t>
                  </w:r>
                </w:p>
              </w:tc>
              <w:tc>
                <w:tcPr>
                  <w:tcW w:w="1913" w:type="pct"/>
                  <w:vAlign w:val="center"/>
                </w:tcPr>
                <w:p w14:paraId="4B861015">
                  <w:pPr>
                    <w:pStyle w:val="51"/>
                    <w:rPr>
                      <w:color w:val="auto"/>
                    </w:rPr>
                  </w:pPr>
                  <w:r>
                    <w:rPr>
                      <w:rFonts w:hint="eastAsia"/>
                      <w:color w:val="auto"/>
                    </w:rPr>
                    <w:t>1~5#、6~10#、11~15#、16</w:t>
                  </w:r>
                  <w:r>
                    <w:rPr>
                      <w:rFonts w:hint="eastAsia"/>
                      <w:color w:val="auto"/>
                      <w:lang w:val="en-US" w:eastAsia="zh-CN"/>
                    </w:rPr>
                    <w:t>~</w:t>
                  </w:r>
                  <w:r>
                    <w:rPr>
                      <w:rFonts w:hint="eastAsia"/>
                      <w:color w:val="auto"/>
                    </w:rPr>
                    <w:t>20#加弹机产生的有机废气NMHC经自带管道收集后分别由1#~4#高压静电油烟净化器处理后通过4根15m排气筒（DA001~DA004）达标排放</w:t>
                  </w:r>
                </w:p>
              </w:tc>
              <w:tc>
                <w:tcPr>
                  <w:tcW w:w="292" w:type="pct"/>
                  <w:vAlign w:val="center"/>
                </w:tcPr>
                <w:p w14:paraId="4B33B5C8">
                  <w:pPr>
                    <w:pStyle w:val="51"/>
                    <w:rPr>
                      <w:color w:val="auto"/>
                    </w:rPr>
                  </w:pPr>
                  <w:r>
                    <w:rPr>
                      <w:color w:val="auto"/>
                    </w:rPr>
                    <w:t>/</w:t>
                  </w:r>
                </w:p>
              </w:tc>
            </w:tr>
            <w:tr w14:paraId="1010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43" w:type="pct"/>
                  <w:vMerge w:val="continue"/>
                  <w:vAlign w:val="center"/>
                </w:tcPr>
                <w:p w14:paraId="6984F2E6">
                  <w:pPr>
                    <w:pStyle w:val="51"/>
                    <w:rPr>
                      <w:color w:val="auto"/>
                    </w:rPr>
                  </w:pPr>
                </w:p>
              </w:tc>
              <w:tc>
                <w:tcPr>
                  <w:tcW w:w="827" w:type="pct"/>
                  <w:vAlign w:val="center"/>
                </w:tcPr>
                <w:p w14:paraId="0BDD1316">
                  <w:pPr>
                    <w:pStyle w:val="51"/>
                    <w:rPr>
                      <w:color w:val="auto"/>
                    </w:rPr>
                  </w:pPr>
                  <w:r>
                    <w:rPr>
                      <w:rFonts w:hint="eastAsia"/>
                      <w:color w:val="auto"/>
                    </w:rPr>
                    <w:t>危废仓库废气</w:t>
                  </w:r>
                </w:p>
              </w:tc>
              <w:tc>
                <w:tcPr>
                  <w:tcW w:w="751" w:type="pct"/>
                  <w:vAlign w:val="center"/>
                </w:tcPr>
                <w:p w14:paraId="2A2F0A9F">
                  <w:pPr>
                    <w:pStyle w:val="51"/>
                    <w:rPr>
                      <w:color w:val="auto"/>
                    </w:rPr>
                  </w:pPr>
                  <w:r>
                    <w:rPr>
                      <w:rFonts w:hint="eastAsia"/>
                      <w:color w:val="auto"/>
                    </w:rPr>
                    <w:t>危废储存</w:t>
                  </w:r>
                </w:p>
              </w:tc>
              <w:tc>
                <w:tcPr>
                  <w:tcW w:w="969" w:type="pct"/>
                  <w:vAlign w:val="center"/>
                </w:tcPr>
                <w:p w14:paraId="70A65191">
                  <w:pPr>
                    <w:pStyle w:val="51"/>
                    <w:rPr>
                      <w:color w:val="auto"/>
                    </w:rPr>
                  </w:pPr>
                  <w:r>
                    <w:rPr>
                      <w:rFonts w:hint="eastAsia"/>
                      <w:color w:val="auto"/>
                    </w:rPr>
                    <w:t>非甲烷总烃</w:t>
                  </w:r>
                </w:p>
              </w:tc>
              <w:tc>
                <w:tcPr>
                  <w:tcW w:w="1913" w:type="pct"/>
                  <w:vAlign w:val="center"/>
                </w:tcPr>
                <w:p w14:paraId="452837C5">
                  <w:pPr>
                    <w:pStyle w:val="51"/>
                    <w:rPr>
                      <w:color w:val="auto"/>
                    </w:rPr>
                  </w:pPr>
                  <w:r>
                    <w:rPr>
                      <w:rFonts w:hint="eastAsia"/>
                      <w:color w:val="auto"/>
                    </w:rPr>
                    <w:t>危废仓库废气NMHC经负压风管收集后由1#高压静电油烟净化器处理后通过1根15m排气筒（DA001）达标排放</w:t>
                  </w:r>
                </w:p>
              </w:tc>
              <w:tc>
                <w:tcPr>
                  <w:tcW w:w="292" w:type="pct"/>
                  <w:vAlign w:val="center"/>
                </w:tcPr>
                <w:p w14:paraId="73DE6C1F">
                  <w:pPr>
                    <w:pStyle w:val="51"/>
                    <w:rPr>
                      <w:color w:val="auto"/>
                    </w:rPr>
                  </w:pPr>
                  <w:r>
                    <w:rPr>
                      <w:rFonts w:hint="eastAsia"/>
                      <w:color w:val="auto"/>
                    </w:rPr>
                    <w:t>/</w:t>
                  </w:r>
                </w:p>
              </w:tc>
            </w:tr>
            <w:tr w14:paraId="1B41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vMerge w:val="restart"/>
                  <w:vAlign w:val="center"/>
                </w:tcPr>
                <w:p w14:paraId="70A8E333">
                  <w:pPr>
                    <w:pStyle w:val="51"/>
                    <w:rPr>
                      <w:color w:val="auto"/>
                    </w:rPr>
                  </w:pPr>
                  <w:r>
                    <w:rPr>
                      <w:color w:val="auto"/>
                    </w:rPr>
                    <w:t>废水</w:t>
                  </w:r>
                </w:p>
              </w:tc>
              <w:tc>
                <w:tcPr>
                  <w:tcW w:w="827" w:type="pct"/>
                  <w:vAlign w:val="center"/>
                </w:tcPr>
                <w:p w14:paraId="7678B389">
                  <w:pPr>
                    <w:pStyle w:val="51"/>
                    <w:rPr>
                      <w:color w:val="auto"/>
                    </w:rPr>
                  </w:pPr>
                  <w:r>
                    <w:rPr>
                      <w:color w:val="auto"/>
                    </w:rPr>
                    <w:t>生活污水</w:t>
                  </w:r>
                </w:p>
              </w:tc>
              <w:tc>
                <w:tcPr>
                  <w:tcW w:w="751" w:type="pct"/>
                  <w:vAlign w:val="center"/>
                </w:tcPr>
                <w:p w14:paraId="27BADA16">
                  <w:pPr>
                    <w:pStyle w:val="51"/>
                    <w:rPr>
                      <w:color w:val="auto"/>
                    </w:rPr>
                  </w:pPr>
                  <w:r>
                    <w:rPr>
                      <w:color w:val="auto"/>
                    </w:rPr>
                    <w:t>职工生活</w:t>
                  </w:r>
                </w:p>
              </w:tc>
              <w:tc>
                <w:tcPr>
                  <w:tcW w:w="969" w:type="pct"/>
                  <w:vAlign w:val="center"/>
                </w:tcPr>
                <w:p w14:paraId="5260E8CF">
                  <w:pPr>
                    <w:pStyle w:val="51"/>
                    <w:rPr>
                      <w:color w:val="auto"/>
                    </w:rPr>
                  </w:pPr>
                  <w:r>
                    <w:rPr>
                      <w:color w:val="auto"/>
                    </w:rPr>
                    <w:t>pH、COD、SS、氨氮、</w:t>
                  </w:r>
                  <w:r>
                    <w:rPr>
                      <w:rFonts w:hint="eastAsia"/>
                      <w:color w:val="auto"/>
                    </w:rPr>
                    <w:t>TN</w:t>
                  </w:r>
                  <w:r>
                    <w:rPr>
                      <w:color w:val="auto"/>
                    </w:rPr>
                    <w:t>、</w:t>
                  </w:r>
                  <w:r>
                    <w:rPr>
                      <w:rFonts w:hint="eastAsia"/>
                      <w:color w:val="auto"/>
                    </w:rPr>
                    <w:t>TP</w:t>
                  </w:r>
                </w:p>
              </w:tc>
              <w:tc>
                <w:tcPr>
                  <w:tcW w:w="1913" w:type="pct"/>
                  <w:vAlign w:val="center"/>
                </w:tcPr>
                <w:p w14:paraId="77E85D53">
                  <w:pPr>
                    <w:pStyle w:val="51"/>
                    <w:rPr>
                      <w:color w:val="auto"/>
                    </w:rPr>
                  </w:pPr>
                  <w:r>
                    <w:rPr>
                      <w:color w:val="auto"/>
                    </w:rPr>
                    <w:t>经</w:t>
                  </w:r>
                  <w:r>
                    <w:rPr>
                      <w:rFonts w:hint="eastAsia"/>
                      <w:color w:val="auto"/>
                    </w:rPr>
                    <w:t>厂区</w:t>
                  </w:r>
                  <w:r>
                    <w:rPr>
                      <w:color w:val="auto"/>
                    </w:rPr>
                    <w:t>化粪池预处理后，接管至</w:t>
                  </w:r>
                  <w:r>
                    <w:rPr>
                      <w:rFonts w:hint="eastAsia"/>
                      <w:color w:val="auto"/>
                    </w:rPr>
                    <w:t>新袁镇</w:t>
                  </w:r>
                  <w:r>
                    <w:rPr>
                      <w:color w:val="auto"/>
                    </w:rPr>
                    <w:t>污水处理厂集中处理</w:t>
                  </w:r>
                </w:p>
              </w:tc>
              <w:tc>
                <w:tcPr>
                  <w:tcW w:w="292" w:type="pct"/>
                  <w:vAlign w:val="center"/>
                </w:tcPr>
                <w:p w14:paraId="166D1605">
                  <w:pPr>
                    <w:pStyle w:val="51"/>
                    <w:rPr>
                      <w:color w:val="auto"/>
                    </w:rPr>
                  </w:pPr>
                  <w:r>
                    <w:rPr>
                      <w:color w:val="auto"/>
                    </w:rPr>
                    <w:t>/</w:t>
                  </w:r>
                </w:p>
              </w:tc>
            </w:tr>
            <w:tr w14:paraId="4DAE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vMerge w:val="continue"/>
                  <w:vAlign w:val="center"/>
                </w:tcPr>
                <w:p w14:paraId="482DC259">
                  <w:pPr>
                    <w:pStyle w:val="51"/>
                    <w:rPr>
                      <w:color w:val="auto"/>
                    </w:rPr>
                  </w:pPr>
                </w:p>
              </w:tc>
              <w:tc>
                <w:tcPr>
                  <w:tcW w:w="827" w:type="pct"/>
                  <w:vAlign w:val="center"/>
                </w:tcPr>
                <w:p w14:paraId="7F0187D8">
                  <w:pPr>
                    <w:pStyle w:val="51"/>
                    <w:rPr>
                      <w:color w:val="auto"/>
                    </w:rPr>
                  </w:pPr>
                  <w:r>
                    <w:rPr>
                      <w:rFonts w:hint="eastAsia"/>
                      <w:color w:val="auto"/>
                    </w:rPr>
                    <w:t>喷水织造废水</w:t>
                  </w:r>
                </w:p>
              </w:tc>
              <w:tc>
                <w:tcPr>
                  <w:tcW w:w="751" w:type="pct"/>
                  <w:vAlign w:val="center"/>
                </w:tcPr>
                <w:p w14:paraId="30113CD7">
                  <w:pPr>
                    <w:pStyle w:val="51"/>
                    <w:rPr>
                      <w:color w:val="auto"/>
                    </w:rPr>
                  </w:pPr>
                  <w:r>
                    <w:rPr>
                      <w:rFonts w:hint="eastAsia"/>
                      <w:color w:val="auto"/>
                    </w:rPr>
                    <w:t>喷水织造</w:t>
                  </w:r>
                </w:p>
              </w:tc>
              <w:tc>
                <w:tcPr>
                  <w:tcW w:w="969" w:type="pct"/>
                  <w:vAlign w:val="center"/>
                </w:tcPr>
                <w:p w14:paraId="039E5CE0">
                  <w:pPr>
                    <w:pStyle w:val="51"/>
                    <w:rPr>
                      <w:color w:val="auto"/>
                    </w:rPr>
                  </w:pPr>
                  <w:r>
                    <w:rPr>
                      <w:color w:val="auto"/>
                    </w:rPr>
                    <w:t>pH、</w:t>
                  </w:r>
                  <w:r>
                    <w:rPr>
                      <w:rFonts w:hint="eastAsia"/>
                      <w:color w:val="auto"/>
                    </w:rPr>
                    <w:t>COD、SS、氨氮、TN、TP、石油类、总锑</w:t>
                  </w:r>
                </w:p>
              </w:tc>
              <w:tc>
                <w:tcPr>
                  <w:tcW w:w="1913" w:type="pct"/>
                  <w:vAlign w:val="center"/>
                </w:tcPr>
                <w:p w14:paraId="257B4B58">
                  <w:pPr>
                    <w:pStyle w:val="51"/>
                    <w:rPr>
                      <w:color w:val="auto"/>
                    </w:rPr>
                  </w:pPr>
                  <w:r>
                    <w:rPr>
                      <w:rFonts w:hint="eastAsia"/>
                      <w:color w:val="auto"/>
                    </w:rPr>
                    <w:t>经厂区污水处理站处理后，全部回用于喷水织造、不外排</w:t>
                  </w:r>
                </w:p>
              </w:tc>
              <w:tc>
                <w:tcPr>
                  <w:tcW w:w="292" w:type="pct"/>
                  <w:vAlign w:val="center"/>
                </w:tcPr>
                <w:p w14:paraId="1850C333">
                  <w:pPr>
                    <w:pStyle w:val="51"/>
                    <w:rPr>
                      <w:color w:val="auto"/>
                    </w:rPr>
                  </w:pPr>
                  <w:r>
                    <w:rPr>
                      <w:color w:val="auto"/>
                    </w:rPr>
                    <w:t>/</w:t>
                  </w:r>
                </w:p>
              </w:tc>
            </w:tr>
            <w:tr w14:paraId="21AA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vMerge w:val="restart"/>
                  <w:vAlign w:val="center"/>
                </w:tcPr>
                <w:p w14:paraId="3997043C">
                  <w:pPr>
                    <w:pStyle w:val="51"/>
                    <w:rPr>
                      <w:color w:val="auto"/>
                    </w:rPr>
                  </w:pPr>
                  <w:r>
                    <w:rPr>
                      <w:color w:val="auto"/>
                    </w:rPr>
                    <w:t>固废</w:t>
                  </w:r>
                </w:p>
              </w:tc>
              <w:tc>
                <w:tcPr>
                  <w:tcW w:w="827" w:type="pct"/>
                  <w:vMerge w:val="restart"/>
                  <w:vAlign w:val="center"/>
                </w:tcPr>
                <w:p w14:paraId="2243B89C">
                  <w:pPr>
                    <w:pStyle w:val="51"/>
                    <w:rPr>
                      <w:color w:val="auto"/>
                    </w:rPr>
                  </w:pPr>
                  <w:r>
                    <w:rPr>
                      <w:rFonts w:hint="eastAsia"/>
                      <w:color w:val="auto"/>
                    </w:rPr>
                    <w:t>废丝</w:t>
                  </w:r>
                </w:p>
              </w:tc>
              <w:tc>
                <w:tcPr>
                  <w:tcW w:w="751" w:type="pct"/>
                  <w:vAlign w:val="center"/>
                </w:tcPr>
                <w:p w14:paraId="042AB5D9">
                  <w:pPr>
                    <w:pStyle w:val="51"/>
                    <w:rPr>
                      <w:color w:val="auto"/>
                    </w:rPr>
                  </w:pPr>
                  <w:r>
                    <w:rPr>
                      <w:rFonts w:hint="eastAsia"/>
                      <w:color w:val="auto"/>
                    </w:rPr>
                    <w:t>加弹</w:t>
                  </w:r>
                </w:p>
              </w:tc>
              <w:tc>
                <w:tcPr>
                  <w:tcW w:w="969" w:type="pct"/>
                  <w:vAlign w:val="center"/>
                </w:tcPr>
                <w:p w14:paraId="04785A0B">
                  <w:pPr>
                    <w:pStyle w:val="51"/>
                    <w:rPr>
                      <w:color w:val="auto"/>
                    </w:rPr>
                  </w:pPr>
                  <w:r>
                    <w:rPr>
                      <w:rFonts w:hint="eastAsia"/>
                      <w:color w:val="auto"/>
                    </w:rPr>
                    <w:t>纤维</w:t>
                  </w:r>
                </w:p>
              </w:tc>
              <w:tc>
                <w:tcPr>
                  <w:tcW w:w="1913" w:type="pct"/>
                  <w:vMerge w:val="restart"/>
                  <w:vAlign w:val="center"/>
                </w:tcPr>
                <w:p w14:paraId="10028736">
                  <w:pPr>
                    <w:pStyle w:val="51"/>
                    <w:rPr>
                      <w:color w:val="auto"/>
                    </w:rPr>
                  </w:pPr>
                  <w:r>
                    <w:rPr>
                      <w:color w:val="auto"/>
                    </w:rPr>
                    <w:t>收集后暂存一般固废库，外售综合利用</w:t>
                  </w:r>
                </w:p>
              </w:tc>
              <w:tc>
                <w:tcPr>
                  <w:tcW w:w="292" w:type="pct"/>
                  <w:vAlign w:val="center"/>
                </w:tcPr>
                <w:p w14:paraId="42088CA0">
                  <w:pPr>
                    <w:pStyle w:val="51"/>
                    <w:rPr>
                      <w:color w:val="auto"/>
                    </w:rPr>
                  </w:pPr>
                  <w:r>
                    <w:rPr>
                      <w:color w:val="auto"/>
                    </w:rPr>
                    <w:t>/</w:t>
                  </w:r>
                </w:p>
              </w:tc>
            </w:tr>
            <w:tr w14:paraId="16A2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243" w:type="pct"/>
                  <w:vMerge w:val="continue"/>
                  <w:vAlign w:val="center"/>
                </w:tcPr>
                <w:p w14:paraId="067BB66F">
                  <w:pPr>
                    <w:pStyle w:val="51"/>
                    <w:rPr>
                      <w:color w:val="auto"/>
                    </w:rPr>
                  </w:pPr>
                </w:p>
              </w:tc>
              <w:tc>
                <w:tcPr>
                  <w:tcW w:w="827" w:type="pct"/>
                  <w:vMerge w:val="continue"/>
                  <w:vAlign w:val="center"/>
                </w:tcPr>
                <w:p w14:paraId="512FB3A7">
                  <w:pPr>
                    <w:pStyle w:val="51"/>
                    <w:rPr>
                      <w:color w:val="auto"/>
                    </w:rPr>
                  </w:pPr>
                </w:p>
              </w:tc>
              <w:tc>
                <w:tcPr>
                  <w:tcW w:w="751" w:type="pct"/>
                  <w:vAlign w:val="center"/>
                </w:tcPr>
                <w:p w14:paraId="3A4CFCE0">
                  <w:pPr>
                    <w:pStyle w:val="51"/>
                    <w:rPr>
                      <w:color w:val="auto"/>
                    </w:rPr>
                  </w:pPr>
                  <w:r>
                    <w:rPr>
                      <w:rFonts w:hint="eastAsia"/>
                      <w:color w:val="auto"/>
                    </w:rPr>
                    <w:t>喷水织造</w:t>
                  </w:r>
                </w:p>
              </w:tc>
              <w:tc>
                <w:tcPr>
                  <w:tcW w:w="969" w:type="pct"/>
                  <w:vAlign w:val="center"/>
                </w:tcPr>
                <w:p w14:paraId="305A90B7">
                  <w:pPr>
                    <w:pStyle w:val="51"/>
                    <w:rPr>
                      <w:color w:val="auto"/>
                    </w:rPr>
                  </w:pPr>
                  <w:r>
                    <w:rPr>
                      <w:rFonts w:hint="eastAsia"/>
                      <w:color w:val="auto"/>
                    </w:rPr>
                    <w:t>纤维</w:t>
                  </w:r>
                </w:p>
              </w:tc>
              <w:tc>
                <w:tcPr>
                  <w:tcW w:w="1913" w:type="pct"/>
                  <w:vMerge w:val="continue"/>
                  <w:vAlign w:val="center"/>
                </w:tcPr>
                <w:p w14:paraId="1F211536">
                  <w:pPr>
                    <w:pStyle w:val="51"/>
                    <w:rPr>
                      <w:color w:val="auto"/>
                    </w:rPr>
                  </w:pPr>
                </w:p>
              </w:tc>
              <w:tc>
                <w:tcPr>
                  <w:tcW w:w="292" w:type="pct"/>
                  <w:vAlign w:val="center"/>
                </w:tcPr>
                <w:p w14:paraId="4C44D4A6">
                  <w:pPr>
                    <w:pStyle w:val="51"/>
                    <w:rPr>
                      <w:color w:val="auto"/>
                    </w:rPr>
                  </w:pPr>
                  <w:r>
                    <w:rPr>
                      <w:color w:val="auto"/>
                    </w:rPr>
                    <w:t>/</w:t>
                  </w:r>
                </w:p>
              </w:tc>
            </w:tr>
            <w:tr w14:paraId="1C6B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243" w:type="pct"/>
                  <w:vMerge w:val="continue"/>
                  <w:vAlign w:val="center"/>
                </w:tcPr>
                <w:p w14:paraId="0C2E75C1">
                  <w:pPr>
                    <w:pStyle w:val="51"/>
                    <w:rPr>
                      <w:color w:val="auto"/>
                    </w:rPr>
                  </w:pPr>
                </w:p>
              </w:tc>
              <w:tc>
                <w:tcPr>
                  <w:tcW w:w="827" w:type="pct"/>
                  <w:vMerge w:val="continue"/>
                  <w:vAlign w:val="center"/>
                </w:tcPr>
                <w:p w14:paraId="69241C18">
                  <w:pPr>
                    <w:pStyle w:val="51"/>
                    <w:rPr>
                      <w:color w:val="auto"/>
                    </w:rPr>
                  </w:pPr>
                </w:p>
              </w:tc>
              <w:tc>
                <w:tcPr>
                  <w:tcW w:w="751" w:type="pct"/>
                  <w:vAlign w:val="center"/>
                </w:tcPr>
                <w:p w14:paraId="5B2AA11E">
                  <w:pPr>
                    <w:pStyle w:val="51"/>
                    <w:rPr>
                      <w:color w:val="auto"/>
                    </w:rPr>
                  </w:pPr>
                  <w:r>
                    <w:rPr>
                      <w:rFonts w:hint="eastAsia"/>
                      <w:color w:val="auto"/>
                    </w:rPr>
                    <w:t>整经</w:t>
                  </w:r>
                </w:p>
              </w:tc>
              <w:tc>
                <w:tcPr>
                  <w:tcW w:w="969" w:type="pct"/>
                  <w:vAlign w:val="center"/>
                </w:tcPr>
                <w:p w14:paraId="198CD29F">
                  <w:pPr>
                    <w:pStyle w:val="51"/>
                    <w:rPr>
                      <w:color w:val="auto"/>
                    </w:rPr>
                  </w:pPr>
                  <w:r>
                    <w:rPr>
                      <w:rFonts w:hint="eastAsia"/>
                      <w:color w:val="auto"/>
                    </w:rPr>
                    <w:t>纤维</w:t>
                  </w:r>
                </w:p>
              </w:tc>
              <w:tc>
                <w:tcPr>
                  <w:tcW w:w="1913" w:type="pct"/>
                  <w:vMerge w:val="continue"/>
                  <w:vAlign w:val="center"/>
                </w:tcPr>
                <w:p w14:paraId="5452A653">
                  <w:pPr>
                    <w:pStyle w:val="51"/>
                    <w:rPr>
                      <w:color w:val="auto"/>
                    </w:rPr>
                  </w:pPr>
                </w:p>
              </w:tc>
              <w:tc>
                <w:tcPr>
                  <w:tcW w:w="292" w:type="pct"/>
                  <w:vAlign w:val="center"/>
                </w:tcPr>
                <w:p w14:paraId="2BF16541">
                  <w:pPr>
                    <w:pStyle w:val="51"/>
                    <w:rPr>
                      <w:color w:val="auto"/>
                    </w:rPr>
                  </w:pPr>
                  <w:r>
                    <w:rPr>
                      <w:rFonts w:hint="eastAsia"/>
                      <w:color w:val="auto"/>
                    </w:rPr>
                    <w:t>/</w:t>
                  </w:r>
                </w:p>
              </w:tc>
            </w:tr>
            <w:tr w14:paraId="2115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vMerge w:val="continue"/>
                  <w:vAlign w:val="center"/>
                </w:tcPr>
                <w:p w14:paraId="0CE47378">
                  <w:pPr>
                    <w:pStyle w:val="51"/>
                    <w:rPr>
                      <w:color w:val="auto"/>
                    </w:rPr>
                  </w:pPr>
                </w:p>
              </w:tc>
              <w:tc>
                <w:tcPr>
                  <w:tcW w:w="827" w:type="pct"/>
                  <w:vAlign w:val="center"/>
                </w:tcPr>
                <w:p w14:paraId="75DC69E4">
                  <w:pPr>
                    <w:pStyle w:val="51"/>
                    <w:rPr>
                      <w:color w:val="auto"/>
                    </w:rPr>
                  </w:pPr>
                  <w:r>
                    <w:rPr>
                      <w:rFonts w:hint="eastAsia"/>
                      <w:color w:val="auto"/>
                    </w:rPr>
                    <w:t>废磨毛料</w:t>
                  </w:r>
                </w:p>
              </w:tc>
              <w:tc>
                <w:tcPr>
                  <w:tcW w:w="751" w:type="pct"/>
                  <w:vAlign w:val="center"/>
                </w:tcPr>
                <w:p w14:paraId="0988CB90">
                  <w:pPr>
                    <w:pStyle w:val="51"/>
                    <w:rPr>
                      <w:color w:val="auto"/>
                    </w:rPr>
                  </w:pPr>
                  <w:r>
                    <w:rPr>
                      <w:rFonts w:hint="eastAsia"/>
                      <w:color w:val="auto"/>
                    </w:rPr>
                    <w:t>磨毛</w:t>
                  </w:r>
                </w:p>
              </w:tc>
              <w:tc>
                <w:tcPr>
                  <w:tcW w:w="969" w:type="pct"/>
                  <w:vAlign w:val="center"/>
                </w:tcPr>
                <w:p w14:paraId="22CF49B2">
                  <w:pPr>
                    <w:pStyle w:val="51"/>
                    <w:rPr>
                      <w:color w:val="auto"/>
                    </w:rPr>
                  </w:pPr>
                  <w:r>
                    <w:rPr>
                      <w:rFonts w:hint="eastAsia"/>
                      <w:color w:val="auto"/>
                    </w:rPr>
                    <w:t>纤维</w:t>
                  </w:r>
                </w:p>
              </w:tc>
              <w:tc>
                <w:tcPr>
                  <w:tcW w:w="1913" w:type="pct"/>
                  <w:vMerge w:val="continue"/>
                  <w:vAlign w:val="center"/>
                </w:tcPr>
                <w:p w14:paraId="6C8E92FE">
                  <w:pPr>
                    <w:pStyle w:val="51"/>
                    <w:rPr>
                      <w:color w:val="auto"/>
                    </w:rPr>
                  </w:pPr>
                </w:p>
              </w:tc>
              <w:tc>
                <w:tcPr>
                  <w:tcW w:w="292" w:type="pct"/>
                  <w:vAlign w:val="center"/>
                </w:tcPr>
                <w:p w14:paraId="61072A83">
                  <w:pPr>
                    <w:pStyle w:val="51"/>
                    <w:rPr>
                      <w:color w:val="auto"/>
                    </w:rPr>
                  </w:pPr>
                  <w:r>
                    <w:rPr>
                      <w:color w:val="auto"/>
                    </w:rPr>
                    <w:t>/</w:t>
                  </w:r>
                </w:p>
              </w:tc>
            </w:tr>
            <w:tr w14:paraId="34F3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vMerge w:val="continue"/>
                  <w:vAlign w:val="center"/>
                </w:tcPr>
                <w:p w14:paraId="3E29B06A">
                  <w:pPr>
                    <w:pStyle w:val="51"/>
                    <w:rPr>
                      <w:color w:val="auto"/>
                    </w:rPr>
                  </w:pPr>
                </w:p>
              </w:tc>
              <w:tc>
                <w:tcPr>
                  <w:tcW w:w="827" w:type="pct"/>
                  <w:vAlign w:val="center"/>
                </w:tcPr>
                <w:p w14:paraId="4176C545">
                  <w:pPr>
                    <w:pStyle w:val="51"/>
                    <w:rPr>
                      <w:color w:val="auto"/>
                    </w:rPr>
                  </w:pPr>
                  <w:r>
                    <w:rPr>
                      <w:rFonts w:hint="eastAsia"/>
                      <w:color w:val="auto"/>
                    </w:rPr>
                    <w:t>废布</w:t>
                  </w:r>
                </w:p>
              </w:tc>
              <w:tc>
                <w:tcPr>
                  <w:tcW w:w="751" w:type="pct"/>
                  <w:vAlign w:val="center"/>
                </w:tcPr>
                <w:p w14:paraId="6F574E02">
                  <w:pPr>
                    <w:pStyle w:val="51"/>
                    <w:rPr>
                      <w:color w:val="auto"/>
                    </w:rPr>
                  </w:pPr>
                  <w:r>
                    <w:rPr>
                      <w:rFonts w:hint="eastAsia"/>
                      <w:color w:val="auto"/>
                    </w:rPr>
                    <w:t>验布</w:t>
                  </w:r>
                </w:p>
              </w:tc>
              <w:tc>
                <w:tcPr>
                  <w:tcW w:w="969" w:type="pct"/>
                  <w:vAlign w:val="center"/>
                </w:tcPr>
                <w:p w14:paraId="105F531D">
                  <w:pPr>
                    <w:pStyle w:val="51"/>
                    <w:rPr>
                      <w:color w:val="auto"/>
                    </w:rPr>
                  </w:pPr>
                  <w:r>
                    <w:rPr>
                      <w:rFonts w:hint="eastAsia"/>
                      <w:color w:val="auto"/>
                    </w:rPr>
                    <w:t>纤维</w:t>
                  </w:r>
                </w:p>
              </w:tc>
              <w:tc>
                <w:tcPr>
                  <w:tcW w:w="1913" w:type="pct"/>
                  <w:vMerge w:val="continue"/>
                  <w:vAlign w:val="center"/>
                </w:tcPr>
                <w:p w14:paraId="5E25619B">
                  <w:pPr>
                    <w:pStyle w:val="51"/>
                    <w:rPr>
                      <w:color w:val="auto"/>
                    </w:rPr>
                  </w:pPr>
                </w:p>
              </w:tc>
              <w:tc>
                <w:tcPr>
                  <w:tcW w:w="292" w:type="pct"/>
                  <w:vAlign w:val="center"/>
                </w:tcPr>
                <w:p w14:paraId="069D0A36">
                  <w:pPr>
                    <w:pStyle w:val="51"/>
                    <w:rPr>
                      <w:color w:val="auto"/>
                    </w:rPr>
                  </w:pPr>
                  <w:r>
                    <w:rPr>
                      <w:color w:val="auto"/>
                    </w:rPr>
                    <w:t>/</w:t>
                  </w:r>
                </w:p>
              </w:tc>
            </w:tr>
            <w:tr w14:paraId="6BAC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vMerge w:val="continue"/>
                  <w:vAlign w:val="center"/>
                </w:tcPr>
                <w:p w14:paraId="496C6195">
                  <w:pPr>
                    <w:pStyle w:val="51"/>
                    <w:rPr>
                      <w:color w:val="auto"/>
                    </w:rPr>
                  </w:pPr>
                </w:p>
              </w:tc>
              <w:tc>
                <w:tcPr>
                  <w:tcW w:w="827" w:type="pct"/>
                  <w:vAlign w:val="center"/>
                </w:tcPr>
                <w:p w14:paraId="27AA3DE0">
                  <w:pPr>
                    <w:pStyle w:val="51"/>
                    <w:rPr>
                      <w:color w:val="auto"/>
                    </w:rPr>
                  </w:pPr>
                  <w:r>
                    <w:rPr>
                      <w:rFonts w:hint="eastAsia"/>
                      <w:color w:val="auto"/>
                    </w:rPr>
                    <w:t>废包装材料</w:t>
                  </w:r>
                </w:p>
              </w:tc>
              <w:tc>
                <w:tcPr>
                  <w:tcW w:w="751" w:type="pct"/>
                  <w:vAlign w:val="center"/>
                </w:tcPr>
                <w:p w14:paraId="00B9C9D4">
                  <w:pPr>
                    <w:pStyle w:val="51"/>
                    <w:rPr>
                      <w:rFonts w:hint="eastAsia" w:eastAsia="宋体"/>
                      <w:color w:val="auto"/>
                      <w:lang w:eastAsia="zh-CN"/>
                    </w:rPr>
                  </w:pPr>
                  <w:r>
                    <w:rPr>
                      <w:rFonts w:hint="eastAsia"/>
                      <w:color w:val="auto"/>
                    </w:rPr>
                    <w:t>原辅料</w:t>
                  </w:r>
                  <w:r>
                    <w:rPr>
                      <w:rFonts w:hint="eastAsia"/>
                      <w:color w:val="auto"/>
                      <w:lang w:val="en-US" w:eastAsia="zh-CN"/>
                    </w:rPr>
                    <w:t>使用</w:t>
                  </w:r>
                </w:p>
              </w:tc>
              <w:tc>
                <w:tcPr>
                  <w:tcW w:w="969" w:type="pct"/>
                  <w:vAlign w:val="center"/>
                </w:tcPr>
                <w:p w14:paraId="47949145">
                  <w:pPr>
                    <w:pStyle w:val="51"/>
                    <w:rPr>
                      <w:color w:val="auto"/>
                    </w:rPr>
                  </w:pPr>
                  <w:r>
                    <w:rPr>
                      <w:rFonts w:hint="eastAsia"/>
                      <w:color w:val="auto"/>
                    </w:rPr>
                    <w:t>纸、塑料</w:t>
                  </w:r>
                </w:p>
              </w:tc>
              <w:tc>
                <w:tcPr>
                  <w:tcW w:w="1913" w:type="pct"/>
                  <w:vMerge w:val="continue"/>
                  <w:vAlign w:val="center"/>
                </w:tcPr>
                <w:p w14:paraId="2987713D">
                  <w:pPr>
                    <w:pStyle w:val="51"/>
                    <w:rPr>
                      <w:color w:val="auto"/>
                    </w:rPr>
                  </w:pPr>
                </w:p>
              </w:tc>
              <w:tc>
                <w:tcPr>
                  <w:tcW w:w="292" w:type="pct"/>
                  <w:vAlign w:val="center"/>
                </w:tcPr>
                <w:p w14:paraId="55127D61">
                  <w:pPr>
                    <w:pStyle w:val="51"/>
                    <w:rPr>
                      <w:color w:val="auto"/>
                    </w:rPr>
                  </w:pPr>
                  <w:r>
                    <w:rPr>
                      <w:rFonts w:hint="eastAsia"/>
                      <w:color w:val="auto"/>
                    </w:rPr>
                    <w:t>/</w:t>
                  </w:r>
                </w:p>
              </w:tc>
            </w:tr>
            <w:tr w14:paraId="6A36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243" w:type="pct"/>
                  <w:vMerge w:val="continue"/>
                  <w:vAlign w:val="center"/>
                </w:tcPr>
                <w:p w14:paraId="0E102A20">
                  <w:pPr>
                    <w:pStyle w:val="51"/>
                    <w:rPr>
                      <w:color w:val="auto"/>
                    </w:rPr>
                  </w:pPr>
                </w:p>
              </w:tc>
              <w:tc>
                <w:tcPr>
                  <w:tcW w:w="827" w:type="pct"/>
                  <w:vAlign w:val="center"/>
                </w:tcPr>
                <w:p w14:paraId="694AEA46">
                  <w:pPr>
                    <w:pStyle w:val="51"/>
                    <w:rPr>
                      <w:color w:val="auto"/>
                    </w:rPr>
                  </w:pPr>
                  <w:r>
                    <w:rPr>
                      <w:rFonts w:hint="eastAsia"/>
                      <w:color w:val="auto"/>
                    </w:rPr>
                    <w:t>废过滤介质</w:t>
                  </w:r>
                </w:p>
              </w:tc>
              <w:tc>
                <w:tcPr>
                  <w:tcW w:w="751" w:type="pct"/>
                  <w:vMerge w:val="restart"/>
                  <w:vAlign w:val="center"/>
                </w:tcPr>
                <w:p w14:paraId="7C4005DC">
                  <w:pPr>
                    <w:pStyle w:val="51"/>
                    <w:rPr>
                      <w:color w:val="auto"/>
                    </w:rPr>
                  </w:pPr>
                  <w:r>
                    <w:rPr>
                      <w:rFonts w:hint="eastAsia"/>
                      <w:color w:val="auto"/>
                    </w:rPr>
                    <w:t>喷水织造废水处理</w:t>
                  </w:r>
                </w:p>
              </w:tc>
              <w:tc>
                <w:tcPr>
                  <w:tcW w:w="969" w:type="pct"/>
                  <w:vAlign w:val="center"/>
                </w:tcPr>
                <w:p w14:paraId="64356284">
                  <w:pPr>
                    <w:pStyle w:val="51"/>
                    <w:rPr>
                      <w:color w:val="auto"/>
                    </w:rPr>
                  </w:pPr>
                  <w:r>
                    <w:rPr>
                      <w:rFonts w:hint="eastAsia"/>
                      <w:color w:val="auto"/>
                    </w:rPr>
                    <w:t>石英砂、活性炭</w:t>
                  </w:r>
                </w:p>
              </w:tc>
              <w:tc>
                <w:tcPr>
                  <w:tcW w:w="1913" w:type="pct"/>
                  <w:vMerge w:val="continue"/>
                  <w:vAlign w:val="center"/>
                </w:tcPr>
                <w:p w14:paraId="1FDADBC7">
                  <w:pPr>
                    <w:pStyle w:val="51"/>
                    <w:rPr>
                      <w:color w:val="auto"/>
                    </w:rPr>
                  </w:pPr>
                </w:p>
              </w:tc>
              <w:tc>
                <w:tcPr>
                  <w:tcW w:w="292" w:type="pct"/>
                  <w:vAlign w:val="center"/>
                </w:tcPr>
                <w:p w14:paraId="0124D9EA">
                  <w:pPr>
                    <w:pStyle w:val="51"/>
                    <w:rPr>
                      <w:color w:val="auto"/>
                    </w:rPr>
                  </w:pPr>
                  <w:r>
                    <w:rPr>
                      <w:rFonts w:hint="eastAsia"/>
                      <w:color w:val="auto"/>
                    </w:rPr>
                    <w:t>/</w:t>
                  </w:r>
                </w:p>
              </w:tc>
            </w:tr>
            <w:tr w14:paraId="5FD4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43" w:type="pct"/>
                  <w:vMerge w:val="continue"/>
                  <w:vAlign w:val="center"/>
                </w:tcPr>
                <w:p w14:paraId="3D8B6662">
                  <w:pPr>
                    <w:pStyle w:val="51"/>
                    <w:rPr>
                      <w:color w:val="auto"/>
                    </w:rPr>
                  </w:pPr>
                </w:p>
              </w:tc>
              <w:tc>
                <w:tcPr>
                  <w:tcW w:w="827" w:type="pct"/>
                  <w:vAlign w:val="center"/>
                </w:tcPr>
                <w:p w14:paraId="01414FBF">
                  <w:pPr>
                    <w:pStyle w:val="51"/>
                    <w:rPr>
                      <w:color w:val="auto"/>
                    </w:rPr>
                  </w:pPr>
                  <w:r>
                    <w:rPr>
                      <w:rFonts w:hint="eastAsia"/>
                      <w:color w:val="auto"/>
                    </w:rPr>
                    <w:t>生化污泥</w:t>
                  </w:r>
                </w:p>
              </w:tc>
              <w:tc>
                <w:tcPr>
                  <w:tcW w:w="751" w:type="pct"/>
                  <w:vMerge w:val="continue"/>
                  <w:vAlign w:val="center"/>
                </w:tcPr>
                <w:p w14:paraId="53E925C9">
                  <w:pPr>
                    <w:pStyle w:val="51"/>
                    <w:rPr>
                      <w:color w:val="auto"/>
                    </w:rPr>
                  </w:pPr>
                </w:p>
              </w:tc>
              <w:tc>
                <w:tcPr>
                  <w:tcW w:w="969" w:type="pct"/>
                  <w:vAlign w:val="center"/>
                </w:tcPr>
                <w:p w14:paraId="68AE57A7">
                  <w:pPr>
                    <w:pStyle w:val="51"/>
                    <w:rPr>
                      <w:color w:val="auto"/>
                    </w:rPr>
                  </w:pPr>
                  <w:r>
                    <w:rPr>
                      <w:rFonts w:hint="eastAsia"/>
                      <w:color w:val="auto"/>
                    </w:rPr>
                    <w:t>污泥</w:t>
                  </w:r>
                </w:p>
              </w:tc>
              <w:tc>
                <w:tcPr>
                  <w:tcW w:w="1913" w:type="pct"/>
                  <w:vAlign w:val="center"/>
                </w:tcPr>
                <w:p w14:paraId="163F1798">
                  <w:pPr>
                    <w:pStyle w:val="51"/>
                    <w:rPr>
                      <w:color w:val="auto"/>
                    </w:rPr>
                  </w:pPr>
                  <w:r>
                    <w:rPr>
                      <w:rFonts w:hint="eastAsia"/>
                      <w:color w:val="auto"/>
                      <w:lang w:val="en-US" w:eastAsia="zh-CN"/>
                    </w:rPr>
                    <w:t>鉴定前当危废暂存于危废库中。经过鉴定，如具有危险特性，则委托有资质单位处理；如不具有危险特性，则外售综合利用</w:t>
                  </w:r>
                </w:p>
              </w:tc>
              <w:tc>
                <w:tcPr>
                  <w:tcW w:w="292" w:type="pct"/>
                  <w:vAlign w:val="center"/>
                </w:tcPr>
                <w:p w14:paraId="78F8991F">
                  <w:pPr>
                    <w:pStyle w:val="51"/>
                    <w:rPr>
                      <w:color w:val="auto"/>
                    </w:rPr>
                  </w:pPr>
                  <w:r>
                    <w:rPr>
                      <w:color w:val="auto"/>
                    </w:rPr>
                    <w:t>/</w:t>
                  </w:r>
                </w:p>
              </w:tc>
            </w:tr>
            <w:tr w14:paraId="17E5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vMerge w:val="continue"/>
                  <w:vAlign w:val="center"/>
                </w:tcPr>
                <w:p w14:paraId="164BA0F1">
                  <w:pPr>
                    <w:pStyle w:val="51"/>
                    <w:rPr>
                      <w:color w:val="auto"/>
                    </w:rPr>
                  </w:pPr>
                </w:p>
              </w:tc>
              <w:tc>
                <w:tcPr>
                  <w:tcW w:w="827" w:type="pct"/>
                  <w:vAlign w:val="center"/>
                </w:tcPr>
                <w:p w14:paraId="57B79661">
                  <w:pPr>
                    <w:pStyle w:val="51"/>
                    <w:rPr>
                      <w:color w:val="auto"/>
                    </w:rPr>
                  </w:pPr>
                  <w:r>
                    <w:rPr>
                      <w:rFonts w:hint="eastAsia"/>
                      <w:color w:val="auto"/>
                    </w:rPr>
                    <w:t>物化污泥</w:t>
                  </w:r>
                </w:p>
              </w:tc>
              <w:tc>
                <w:tcPr>
                  <w:tcW w:w="751" w:type="pct"/>
                  <w:vMerge w:val="continue"/>
                  <w:vAlign w:val="center"/>
                </w:tcPr>
                <w:p w14:paraId="3C19A6A4">
                  <w:pPr>
                    <w:pStyle w:val="51"/>
                    <w:rPr>
                      <w:color w:val="auto"/>
                    </w:rPr>
                  </w:pPr>
                </w:p>
              </w:tc>
              <w:tc>
                <w:tcPr>
                  <w:tcW w:w="969" w:type="pct"/>
                  <w:vAlign w:val="center"/>
                </w:tcPr>
                <w:p w14:paraId="18BE2B72">
                  <w:pPr>
                    <w:pStyle w:val="51"/>
                    <w:rPr>
                      <w:color w:val="auto"/>
                    </w:rPr>
                  </w:pPr>
                  <w:r>
                    <w:rPr>
                      <w:rFonts w:hint="eastAsia"/>
                      <w:color w:val="auto"/>
                    </w:rPr>
                    <w:t>浮油、浮渣、油泥</w:t>
                  </w:r>
                </w:p>
              </w:tc>
              <w:tc>
                <w:tcPr>
                  <w:tcW w:w="1913" w:type="pct"/>
                  <w:vMerge w:val="restart"/>
                  <w:vAlign w:val="center"/>
                </w:tcPr>
                <w:p w14:paraId="124D758D">
                  <w:pPr>
                    <w:pStyle w:val="51"/>
                    <w:rPr>
                      <w:color w:val="auto"/>
                    </w:rPr>
                  </w:pPr>
                  <w:r>
                    <w:rPr>
                      <w:rFonts w:hint="eastAsia"/>
                      <w:color w:val="auto"/>
                    </w:rPr>
                    <w:t>收集后暂存危废库，委托有资质单位处置</w:t>
                  </w:r>
                </w:p>
              </w:tc>
              <w:tc>
                <w:tcPr>
                  <w:tcW w:w="292" w:type="pct"/>
                  <w:vAlign w:val="center"/>
                </w:tcPr>
                <w:p w14:paraId="3BCA27E7">
                  <w:pPr>
                    <w:pStyle w:val="51"/>
                    <w:rPr>
                      <w:color w:val="auto"/>
                    </w:rPr>
                  </w:pPr>
                  <w:r>
                    <w:rPr>
                      <w:color w:val="auto"/>
                    </w:rPr>
                    <w:t>/</w:t>
                  </w:r>
                </w:p>
              </w:tc>
            </w:tr>
            <w:tr w14:paraId="508F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vMerge w:val="continue"/>
                  <w:vAlign w:val="center"/>
                </w:tcPr>
                <w:p w14:paraId="63EA44FE">
                  <w:pPr>
                    <w:pStyle w:val="51"/>
                    <w:rPr>
                      <w:color w:val="auto"/>
                    </w:rPr>
                  </w:pPr>
                </w:p>
              </w:tc>
              <w:tc>
                <w:tcPr>
                  <w:tcW w:w="827" w:type="pct"/>
                  <w:vAlign w:val="center"/>
                </w:tcPr>
                <w:p w14:paraId="2A74AF71">
                  <w:pPr>
                    <w:pStyle w:val="51"/>
                    <w:rPr>
                      <w:color w:val="auto"/>
                    </w:rPr>
                  </w:pPr>
                  <w:r>
                    <w:rPr>
                      <w:rFonts w:hint="eastAsia"/>
                      <w:color w:val="auto"/>
                    </w:rPr>
                    <w:t>废加弹油</w:t>
                  </w:r>
                </w:p>
              </w:tc>
              <w:tc>
                <w:tcPr>
                  <w:tcW w:w="751" w:type="pct"/>
                  <w:vAlign w:val="center"/>
                </w:tcPr>
                <w:p w14:paraId="239C3DAE">
                  <w:pPr>
                    <w:pStyle w:val="51"/>
                    <w:rPr>
                      <w:color w:val="auto"/>
                    </w:rPr>
                  </w:pPr>
                  <w:r>
                    <w:rPr>
                      <w:rFonts w:hint="eastAsia"/>
                      <w:color w:val="auto"/>
                    </w:rPr>
                    <w:t>加弹废气处理</w:t>
                  </w:r>
                </w:p>
              </w:tc>
              <w:tc>
                <w:tcPr>
                  <w:tcW w:w="969" w:type="pct"/>
                  <w:vAlign w:val="center"/>
                </w:tcPr>
                <w:p w14:paraId="6E1962D3">
                  <w:pPr>
                    <w:pStyle w:val="51"/>
                    <w:rPr>
                      <w:color w:val="auto"/>
                    </w:rPr>
                  </w:pPr>
                  <w:r>
                    <w:rPr>
                      <w:rFonts w:hint="eastAsia"/>
                      <w:color w:val="auto"/>
                    </w:rPr>
                    <w:t>矿物油</w:t>
                  </w:r>
                </w:p>
              </w:tc>
              <w:tc>
                <w:tcPr>
                  <w:tcW w:w="1913" w:type="pct"/>
                  <w:vMerge w:val="continue"/>
                  <w:vAlign w:val="center"/>
                </w:tcPr>
                <w:p w14:paraId="0B0F7468">
                  <w:pPr>
                    <w:pStyle w:val="51"/>
                    <w:rPr>
                      <w:color w:val="auto"/>
                    </w:rPr>
                  </w:pPr>
                </w:p>
              </w:tc>
              <w:tc>
                <w:tcPr>
                  <w:tcW w:w="292" w:type="pct"/>
                  <w:vAlign w:val="center"/>
                </w:tcPr>
                <w:p w14:paraId="460E0EEE">
                  <w:pPr>
                    <w:pStyle w:val="51"/>
                    <w:rPr>
                      <w:color w:val="auto"/>
                    </w:rPr>
                  </w:pPr>
                  <w:r>
                    <w:rPr>
                      <w:color w:val="auto"/>
                    </w:rPr>
                    <w:t>/</w:t>
                  </w:r>
                </w:p>
              </w:tc>
            </w:tr>
            <w:tr w14:paraId="2558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vMerge w:val="continue"/>
                  <w:vAlign w:val="center"/>
                </w:tcPr>
                <w:p w14:paraId="3D73DADA">
                  <w:pPr>
                    <w:pStyle w:val="51"/>
                    <w:rPr>
                      <w:color w:val="auto"/>
                    </w:rPr>
                  </w:pPr>
                </w:p>
              </w:tc>
              <w:tc>
                <w:tcPr>
                  <w:tcW w:w="827" w:type="pct"/>
                  <w:vAlign w:val="center"/>
                </w:tcPr>
                <w:p w14:paraId="6FCABF6D">
                  <w:pPr>
                    <w:pStyle w:val="51"/>
                    <w:rPr>
                      <w:color w:val="auto"/>
                    </w:rPr>
                  </w:pPr>
                  <w:r>
                    <w:rPr>
                      <w:rFonts w:hint="eastAsia"/>
                      <w:color w:val="auto"/>
                    </w:rPr>
                    <w:t>废机油</w:t>
                  </w:r>
                </w:p>
              </w:tc>
              <w:tc>
                <w:tcPr>
                  <w:tcW w:w="751" w:type="pct"/>
                  <w:vMerge w:val="restart"/>
                  <w:vAlign w:val="center"/>
                </w:tcPr>
                <w:p w14:paraId="230D663C">
                  <w:pPr>
                    <w:pStyle w:val="51"/>
                    <w:rPr>
                      <w:color w:val="auto"/>
                    </w:rPr>
                  </w:pPr>
                  <w:r>
                    <w:rPr>
                      <w:rFonts w:hint="eastAsia"/>
                      <w:color w:val="auto"/>
                    </w:rPr>
                    <w:t>设备维修保养</w:t>
                  </w:r>
                </w:p>
              </w:tc>
              <w:tc>
                <w:tcPr>
                  <w:tcW w:w="969" w:type="pct"/>
                  <w:vAlign w:val="center"/>
                </w:tcPr>
                <w:p w14:paraId="50FE577E">
                  <w:pPr>
                    <w:pStyle w:val="51"/>
                    <w:rPr>
                      <w:color w:val="auto"/>
                    </w:rPr>
                  </w:pPr>
                  <w:r>
                    <w:rPr>
                      <w:rFonts w:hint="eastAsia"/>
                      <w:color w:val="auto"/>
                    </w:rPr>
                    <w:t>矿物油</w:t>
                  </w:r>
                </w:p>
              </w:tc>
              <w:tc>
                <w:tcPr>
                  <w:tcW w:w="1913" w:type="pct"/>
                  <w:vMerge w:val="continue"/>
                  <w:vAlign w:val="center"/>
                </w:tcPr>
                <w:p w14:paraId="7F341C07">
                  <w:pPr>
                    <w:pStyle w:val="51"/>
                    <w:rPr>
                      <w:color w:val="auto"/>
                    </w:rPr>
                  </w:pPr>
                </w:p>
              </w:tc>
              <w:tc>
                <w:tcPr>
                  <w:tcW w:w="292" w:type="pct"/>
                  <w:vAlign w:val="center"/>
                </w:tcPr>
                <w:p w14:paraId="2BBFD2BB">
                  <w:pPr>
                    <w:pStyle w:val="51"/>
                    <w:rPr>
                      <w:color w:val="auto"/>
                    </w:rPr>
                  </w:pPr>
                  <w:r>
                    <w:rPr>
                      <w:color w:val="auto"/>
                    </w:rPr>
                    <w:t>/</w:t>
                  </w:r>
                </w:p>
              </w:tc>
            </w:tr>
            <w:tr w14:paraId="12FB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vMerge w:val="continue"/>
                  <w:vAlign w:val="center"/>
                </w:tcPr>
                <w:p w14:paraId="502D28D3">
                  <w:pPr>
                    <w:pStyle w:val="51"/>
                    <w:rPr>
                      <w:color w:val="auto"/>
                    </w:rPr>
                  </w:pPr>
                </w:p>
              </w:tc>
              <w:tc>
                <w:tcPr>
                  <w:tcW w:w="827" w:type="pct"/>
                  <w:vAlign w:val="center"/>
                </w:tcPr>
                <w:p w14:paraId="4903B3CC">
                  <w:pPr>
                    <w:pStyle w:val="51"/>
                    <w:rPr>
                      <w:color w:val="auto"/>
                    </w:rPr>
                  </w:pPr>
                  <w:r>
                    <w:rPr>
                      <w:rFonts w:hint="eastAsia"/>
                      <w:color w:val="auto"/>
                    </w:rPr>
                    <w:t>废机油桶</w:t>
                  </w:r>
                </w:p>
              </w:tc>
              <w:tc>
                <w:tcPr>
                  <w:tcW w:w="751" w:type="pct"/>
                  <w:vMerge w:val="continue"/>
                  <w:vAlign w:val="center"/>
                </w:tcPr>
                <w:p w14:paraId="46F4D496">
                  <w:pPr>
                    <w:pStyle w:val="51"/>
                    <w:rPr>
                      <w:color w:val="auto"/>
                    </w:rPr>
                  </w:pPr>
                </w:p>
              </w:tc>
              <w:tc>
                <w:tcPr>
                  <w:tcW w:w="969" w:type="pct"/>
                  <w:vAlign w:val="center"/>
                </w:tcPr>
                <w:p w14:paraId="7EB29ACE">
                  <w:pPr>
                    <w:pStyle w:val="51"/>
                    <w:rPr>
                      <w:color w:val="auto"/>
                    </w:rPr>
                  </w:pPr>
                  <w:r>
                    <w:rPr>
                      <w:rFonts w:hint="eastAsia"/>
                      <w:color w:val="auto"/>
                    </w:rPr>
                    <w:t>矿物油、塑料</w:t>
                  </w:r>
                </w:p>
              </w:tc>
              <w:tc>
                <w:tcPr>
                  <w:tcW w:w="1913" w:type="pct"/>
                  <w:vMerge w:val="continue"/>
                  <w:vAlign w:val="center"/>
                </w:tcPr>
                <w:p w14:paraId="1C830A6F">
                  <w:pPr>
                    <w:pStyle w:val="51"/>
                    <w:rPr>
                      <w:color w:val="auto"/>
                    </w:rPr>
                  </w:pPr>
                </w:p>
              </w:tc>
              <w:tc>
                <w:tcPr>
                  <w:tcW w:w="292" w:type="pct"/>
                  <w:shd w:val="clear" w:color="auto" w:fill="auto"/>
                  <w:vAlign w:val="center"/>
                </w:tcPr>
                <w:p w14:paraId="13768779">
                  <w:pPr>
                    <w:pStyle w:val="51"/>
                    <w:rPr>
                      <w:color w:val="auto"/>
                    </w:rPr>
                  </w:pPr>
                  <w:r>
                    <w:rPr>
                      <w:color w:val="auto"/>
                    </w:rPr>
                    <w:t>/</w:t>
                  </w:r>
                </w:p>
              </w:tc>
            </w:tr>
            <w:tr w14:paraId="6B74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vMerge w:val="continue"/>
                  <w:vAlign w:val="center"/>
                </w:tcPr>
                <w:p w14:paraId="1FEA3CD7">
                  <w:pPr>
                    <w:pStyle w:val="51"/>
                    <w:rPr>
                      <w:color w:val="auto"/>
                    </w:rPr>
                  </w:pPr>
                </w:p>
              </w:tc>
              <w:tc>
                <w:tcPr>
                  <w:tcW w:w="827" w:type="pct"/>
                  <w:vAlign w:val="center"/>
                </w:tcPr>
                <w:p w14:paraId="0D46EF99">
                  <w:pPr>
                    <w:pStyle w:val="51"/>
                    <w:rPr>
                      <w:color w:val="auto"/>
                    </w:rPr>
                  </w:pPr>
                  <w:r>
                    <w:rPr>
                      <w:color w:val="auto"/>
                    </w:rPr>
                    <w:t>生活垃圾</w:t>
                  </w:r>
                </w:p>
              </w:tc>
              <w:tc>
                <w:tcPr>
                  <w:tcW w:w="751" w:type="pct"/>
                  <w:vAlign w:val="center"/>
                </w:tcPr>
                <w:p w14:paraId="01011817">
                  <w:pPr>
                    <w:pStyle w:val="51"/>
                    <w:rPr>
                      <w:color w:val="auto"/>
                    </w:rPr>
                  </w:pPr>
                  <w:r>
                    <w:rPr>
                      <w:color w:val="auto"/>
                    </w:rPr>
                    <w:t>职工生活</w:t>
                  </w:r>
                </w:p>
              </w:tc>
              <w:tc>
                <w:tcPr>
                  <w:tcW w:w="969" w:type="pct"/>
                  <w:vAlign w:val="center"/>
                </w:tcPr>
                <w:p w14:paraId="377900A7">
                  <w:pPr>
                    <w:pStyle w:val="51"/>
                    <w:rPr>
                      <w:color w:val="auto"/>
                    </w:rPr>
                  </w:pPr>
                  <w:r>
                    <w:rPr>
                      <w:color w:val="auto"/>
                    </w:rPr>
                    <w:t>生活垃圾</w:t>
                  </w:r>
                </w:p>
              </w:tc>
              <w:tc>
                <w:tcPr>
                  <w:tcW w:w="1913" w:type="pct"/>
                  <w:vAlign w:val="center"/>
                </w:tcPr>
                <w:p w14:paraId="2FDFC6C6">
                  <w:pPr>
                    <w:pStyle w:val="51"/>
                    <w:rPr>
                      <w:color w:val="auto"/>
                    </w:rPr>
                  </w:pPr>
                  <w:r>
                    <w:rPr>
                      <w:rFonts w:hint="eastAsia"/>
                      <w:color w:val="auto"/>
                    </w:rPr>
                    <w:t>由环卫部门清运处理</w:t>
                  </w:r>
                </w:p>
              </w:tc>
              <w:tc>
                <w:tcPr>
                  <w:tcW w:w="292" w:type="pct"/>
                  <w:vAlign w:val="center"/>
                </w:tcPr>
                <w:p w14:paraId="21C2955B">
                  <w:pPr>
                    <w:pStyle w:val="51"/>
                    <w:rPr>
                      <w:color w:val="auto"/>
                    </w:rPr>
                  </w:pPr>
                  <w:r>
                    <w:rPr>
                      <w:color w:val="auto"/>
                    </w:rPr>
                    <w:t>/</w:t>
                  </w:r>
                </w:p>
              </w:tc>
            </w:tr>
            <w:tr w14:paraId="6E4A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vAlign w:val="center"/>
                </w:tcPr>
                <w:p w14:paraId="1CDDDFAF">
                  <w:pPr>
                    <w:pStyle w:val="51"/>
                    <w:rPr>
                      <w:color w:val="auto"/>
                    </w:rPr>
                  </w:pPr>
                  <w:r>
                    <w:rPr>
                      <w:color w:val="auto"/>
                    </w:rPr>
                    <w:t>噪声</w:t>
                  </w:r>
                </w:p>
              </w:tc>
              <w:tc>
                <w:tcPr>
                  <w:tcW w:w="827" w:type="pct"/>
                  <w:vAlign w:val="center"/>
                </w:tcPr>
                <w:p w14:paraId="71C8D234">
                  <w:pPr>
                    <w:pStyle w:val="51"/>
                    <w:rPr>
                      <w:color w:val="auto"/>
                    </w:rPr>
                  </w:pPr>
                  <w:r>
                    <w:rPr>
                      <w:rFonts w:hint="eastAsia"/>
                      <w:color w:val="auto"/>
                    </w:rPr>
                    <w:t>设备噪声</w:t>
                  </w:r>
                </w:p>
              </w:tc>
              <w:tc>
                <w:tcPr>
                  <w:tcW w:w="751" w:type="pct"/>
                  <w:vAlign w:val="center"/>
                </w:tcPr>
                <w:p w14:paraId="1969BEB2">
                  <w:pPr>
                    <w:pStyle w:val="51"/>
                    <w:rPr>
                      <w:color w:val="auto"/>
                    </w:rPr>
                  </w:pPr>
                  <w:r>
                    <w:rPr>
                      <w:rFonts w:hint="eastAsia"/>
                      <w:color w:val="auto"/>
                    </w:rPr>
                    <w:t>生产设备、风机等运行</w:t>
                  </w:r>
                </w:p>
              </w:tc>
              <w:tc>
                <w:tcPr>
                  <w:tcW w:w="969" w:type="pct"/>
                  <w:vAlign w:val="center"/>
                </w:tcPr>
                <w:p w14:paraId="322195F5">
                  <w:pPr>
                    <w:pStyle w:val="51"/>
                    <w:rPr>
                      <w:color w:val="auto"/>
                    </w:rPr>
                  </w:pPr>
                  <w:r>
                    <w:rPr>
                      <w:color w:val="auto"/>
                    </w:rPr>
                    <w:t>等效连续A声级</w:t>
                  </w:r>
                </w:p>
              </w:tc>
              <w:tc>
                <w:tcPr>
                  <w:tcW w:w="1913" w:type="pct"/>
                  <w:vAlign w:val="center"/>
                </w:tcPr>
                <w:p w14:paraId="6E0AFE01">
                  <w:pPr>
                    <w:pStyle w:val="51"/>
                    <w:rPr>
                      <w:color w:val="auto"/>
                    </w:rPr>
                  </w:pPr>
                  <w:r>
                    <w:rPr>
                      <w:rFonts w:hint="eastAsia"/>
                      <w:color w:val="auto"/>
                    </w:rPr>
                    <w:t>选用</w:t>
                  </w:r>
                  <w:r>
                    <w:rPr>
                      <w:color w:val="auto"/>
                    </w:rPr>
                    <w:t>低噪声设备、基础减震、厂房</w:t>
                  </w:r>
                  <w:r>
                    <w:rPr>
                      <w:rFonts w:hint="eastAsia"/>
                      <w:color w:val="auto"/>
                    </w:rPr>
                    <w:t>隔声</w:t>
                  </w:r>
                  <w:r>
                    <w:rPr>
                      <w:color w:val="auto"/>
                    </w:rPr>
                    <w:t>、距离衰减</w:t>
                  </w:r>
                  <w:r>
                    <w:rPr>
                      <w:rFonts w:hint="eastAsia"/>
                      <w:color w:val="auto"/>
                    </w:rPr>
                    <w:t>等</w:t>
                  </w:r>
                </w:p>
              </w:tc>
              <w:tc>
                <w:tcPr>
                  <w:tcW w:w="292" w:type="pct"/>
                  <w:vAlign w:val="center"/>
                </w:tcPr>
                <w:p w14:paraId="333790B9">
                  <w:pPr>
                    <w:pStyle w:val="51"/>
                    <w:rPr>
                      <w:color w:val="auto"/>
                    </w:rPr>
                  </w:pPr>
                  <w:r>
                    <w:rPr>
                      <w:color w:val="auto"/>
                    </w:rPr>
                    <w:t>/</w:t>
                  </w:r>
                </w:p>
              </w:tc>
            </w:tr>
          </w:tbl>
          <w:p w14:paraId="4C9B9C3A">
            <w:pPr>
              <w:pStyle w:val="9"/>
              <w:rPr>
                <w:color w:val="auto"/>
              </w:rPr>
            </w:pPr>
          </w:p>
        </w:tc>
      </w:tr>
      <w:tr w14:paraId="1A8E11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35" w:hRule="atLeast"/>
          <w:jc w:val="center"/>
        </w:trPr>
        <w:tc>
          <w:tcPr>
            <w:tcW w:w="865" w:type="dxa"/>
            <w:vAlign w:val="center"/>
          </w:tcPr>
          <w:p w14:paraId="3D156C15">
            <w:pPr>
              <w:jc w:val="center"/>
              <w:rPr>
                <w:color w:val="auto"/>
              </w:rPr>
            </w:pPr>
            <w:r>
              <w:rPr>
                <w:color w:val="auto"/>
                <w:sz w:val="24"/>
              </w:rPr>
              <w:t>与项目有关的原有环境污染问题</w:t>
            </w:r>
          </w:p>
        </w:tc>
        <w:tc>
          <w:tcPr>
            <w:tcW w:w="8659" w:type="dxa"/>
            <w:vAlign w:val="center"/>
          </w:tcPr>
          <w:p w14:paraId="6A4A9FF6">
            <w:pPr>
              <w:pStyle w:val="47"/>
              <w:ind w:firstLine="480"/>
              <w:rPr>
                <w:color w:val="auto"/>
              </w:rPr>
            </w:pPr>
            <w:r>
              <w:rPr>
                <w:color w:val="auto"/>
              </w:rPr>
              <w:t>本项目为新建项目，经现场勘查，厂区现状为空地，无原有环境问题。</w:t>
            </w:r>
          </w:p>
        </w:tc>
      </w:tr>
    </w:tbl>
    <w:p w14:paraId="74B0EDC3">
      <w:pPr>
        <w:pStyle w:val="47"/>
        <w:ind w:firstLine="480"/>
        <w:rPr>
          <w:color w:val="auto"/>
        </w:rPr>
        <w:sectPr>
          <w:pgSz w:w="11906" w:h="16838"/>
          <w:pgMar w:top="1701" w:right="1417" w:bottom="1701" w:left="1417" w:header="851" w:footer="851" w:gutter="0"/>
          <w:cols w:space="720" w:num="1"/>
          <w:docGrid w:linePitch="312" w:charSpace="0"/>
        </w:sectPr>
      </w:pPr>
      <w:bookmarkStart w:id="36" w:name="_Toc13380"/>
    </w:p>
    <w:p w14:paraId="6B1B6196">
      <w:pPr>
        <w:pStyle w:val="2"/>
        <w:spacing w:line="240" w:lineRule="auto"/>
        <w:rPr>
          <w:color w:val="auto"/>
        </w:rPr>
      </w:pPr>
      <w:bookmarkStart w:id="37" w:name="_Toc16146"/>
      <w:r>
        <w:rPr>
          <w:color w:val="auto"/>
        </w:rPr>
        <w:t>三、区域环境质量现状、环境保护目标及评价标准</w:t>
      </w:r>
      <w:bookmarkEnd w:id="36"/>
      <w:bookmarkEnd w:id="37"/>
    </w:p>
    <w:tbl>
      <w:tblPr>
        <w:tblStyle w:val="15"/>
        <w:tblW w:w="95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659"/>
      </w:tblGrid>
      <w:tr w14:paraId="6CFD39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90" w:hRule="atLeast"/>
          <w:jc w:val="center"/>
        </w:trPr>
        <w:tc>
          <w:tcPr>
            <w:tcW w:w="865" w:type="dxa"/>
            <w:vAlign w:val="center"/>
          </w:tcPr>
          <w:p w14:paraId="65F51680">
            <w:pPr>
              <w:jc w:val="center"/>
              <w:rPr>
                <w:color w:val="auto"/>
                <w:sz w:val="24"/>
              </w:rPr>
            </w:pPr>
            <w:r>
              <w:rPr>
                <w:color w:val="auto"/>
                <w:sz w:val="24"/>
              </w:rPr>
              <w:t>区域</w:t>
            </w:r>
          </w:p>
          <w:p w14:paraId="46A259FB">
            <w:pPr>
              <w:jc w:val="center"/>
              <w:rPr>
                <w:color w:val="auto"/>
                <w:sz w:val="24"/>
              </w:rPr>
            </w:pPr>
            <w:r>
              <w:rPr>
                <w:color w:val="auto"/>
                <w:sz w:val="24"/>
              </w:rPr>
              <w:t>环境</w:t>
            </w:r>
          </w:p>
          <w:p w14:paraId="670ED22D">
            <w:pPr>
              <w:jc w:val="center"/>
              <w:rPr>
                <w:color w:val="auto"/>
                <w:sz w:val="24"/>
              </w:rPr>
            </w:pPr>
            <w:r>
              <w:rPr>
                <w:color w:val="auto"/>
                <w:sz w:val="24"/>
              </w:rPr>
              <w:t>质量</w:t>
            </w:r>
          </w:p>
          <w:p w14:paraId="54055747">
            <w:pPr>
              <w:jc w:val="center"/>
              <w:rPr>
                <w:color w:val="auto"/>
              </w:rPr>
            </w:pPr>
            <w:r>
              <w:rPr>
                <w:color w:val="auto"/>
                <w:sz w:val="24"/>
              </w:rPr>
              <w:t>现状</w:t>
            </w:r>
          </w:p>
        </w:tc>
        <w:tc>
          <w:tcPr>
            <w:tcW w:w="8659" w:type="dxa"/>
            <w:vAlign w:val="center"/>
          </w:tcPr>
          <w:p w14:paraId="2404AF3F">
            <w:pPr>
              <w:pStyle w:val="47"/>
              <w:ind w:firstLine="482"/>
              <w:rPr>
                <w:b/>
                <w:bCs/>
                <w:color w:val="auto"/>
              </w:rPr>
            </w:pPr>
            <w:r>
              <w:rPr>
                <w:b/>
                <w:bCs/>
                <w:color w:val="auto"/>
              </w:rPr>
              <w:t>1、大气环境质量</w:t>
            </w:r>
          </w:p>
          <w:p w14:paraId="21804033">
            <w:pPr>
              <w:pStyle w:val="47"/>
              <w:ind w:firstLine="480"/>
              <w:rPr>
                <w:color w:val="auto"/>
              </w:rPr>
            </w:pPr>
            <w:r>
              <w:rPr>
                <w:color w:val="auto"/>
              </w:rPr>
              <w:t>根据《泗阳县2023年度环境质量公报》可知，2023年度泗阳县优良天数比率为79.2%。超标天数76天，其中轻度污染占17.0%，中度污染占2.5%，重度污染占0.8%，严重污染占0.5%。2023年泗阳县共超标76天，首要污染物为PM</w:t>
            </w:r>
            <w:r>
              <w:rPr>
                <w:color w:val="auto"/>
                <w:vertAlign w:val="subscript"/>
              </w:rPr>
              <w:t>2.5</w:t>
            </w:r>
            <w:r>
              <w:rPr>
                <w:color w:val="auto"/>
              </w:rPr>
              <w:t>占39.5%，O</w:t>
            </w:r>
            <w:r>
              <w:rPr>
                <w:color w:val="auto"/>
                <w:vertAlign w:val="subscript"/>
              </w:rPr>
              <w:t>3</w:t>
            </w:r>
            <w:r>
              <w:rPr>
                <w:color w:val="auto"/>
              </w:rPr>
              <w:t>占比42.1%，PM</w:t>
            </w:r>
            <w:r>
              <w:rPr>
                <w:color w:val="auto"/>
                <w:vertAlign w:val="subscript"/>
              </w:rPr>
              <w:t>10</w:t>
            </w:r>
            <w:r>
              <w:rPr>
                <w:color w:val="auto"/>
              </w:rPr>
              <w:t>占比18.4%。PM</w:t>
            </w:r>
            <w:r>
              <w:rPr>
                <w:color w:val="auto"/>
                <w:vertAlign w:val="subscript"/>
              </w:rPr>
              <w:t>2.5</w:t>
            </w:r>
            <w:r>
              <w:rPr>
                <w:color w:val="auto"/>
              </w:rPr>
              <w:t>、PM</w:t>
            </w:r>
            <w:r>
              <w:rPr>
                <w:color w:val="auto"/>
                <w:vertAlign w:val="subscript"/>
              </w:rPr>
              <w:t>10</w:t>
            </w:r>
            <w:r>
              <w:rPr>
                <w:color w:val="auto"/>
              </w:rPr>
              <w:t>、O</w:t>
            </w:r>
            <w:r>
              <w:rPr>
                <w:color w:val="auto"/>
                <w:vertAlign w:val="subscript"/>
              </w:rPr>
              <w:t>3</w:t>
            </w:r>
            <w:r>
              <w:rPr>
                <w:color w:val="auto"/>
              </w:rPr>
              <w:t>日最大8小时平均、SO</w:t>
            </w:r>
            <w:r>
              <w:rPr>
                <w:color w:val="auto"/>
                <w:vertAlign w:val="subscript"/>
              </w:rPr>
              <w:t>2</w:t>
            </w:r>
            <w:r>
              <w:rPr>
                <w:color w:val="auto"/>
              </w:rPr>
              <w:t>、NO</w:t>
            </w:r>
            <w:r>
              <w:rPr>
                <w:color w:val="auto"/>
                <w:vertAlign w:val="subscript"/>
              </w:rPr>
              <w:t>2</w:t>
            </w:r>
            <w:r>
              <w:rPr>
                <w:color w:val="auto"/>
              </w:rPr>
              <w:t>、CO等6项污染物的日平均达标率分别为90.4%、93.7%、91.0%、100%、99.7%。与2022年相比，泗阳县环境空气中SO</w:t>
            </w:r>
            <w:r>
              <w:rPr>
                <w:color w:val="auto"/>
                <w:vertAlign w:val="subscript"/>
              </w:rPr>
              <w:t>2</w:t>
            </w:r>
            <w:r>
              <w:rPr>
                <w:color w:val="auto"/>
              </w:rPr>
              <w:t>、PM</w:t>
            </w:r>
            <w:r>
              <w:rPr>
                <w:color w:val="auto"/>
                <w:vertAlign w:val="subscript"/>
              </w:rPr>
              <w:t>10</w:t>
            </w:r>
            <w:r>
              <w:rPr>
                <w:color w:val="auto"/>
              </w:rPr>
              <w:t>和NO</w:t>
            </w:r>
            <w:r>
              <w:rPr>
                <w:color w:val="auto"/>
                <w:vertAlign w:val="subscript"/>
              </w:rPr>
              <w:t>2</w:t>
            </w:r>
            <w:r>
              <w:rPr>
                <w:color w:val="auto"/>
              </w:rPr>
              <w:t>年均值均有所上升，上升幅度分别为28.6%、3.4%、12.5%，CO日均值第95百分位浓度同比上升10.0%，O</w:t>
            </w:r>
            <w:r>
              <w:rPr>
                <w:color w:val="auto"/>
                <w:vertAlign w:val="subscript"/>
              </w:rPr>
              <w:t>3</w:t>
            </w:r>
            <w:r>
              <w:rPr>
                <w:color w:val="auto"/>
              </w:rPr>
              <w:t>日最大8小时均值第90百分位浓度同比下降1.2%。</w:t>
            </w:r>
          </w:p>
          <w:p w14:paraId="68831968">
            <w:pPr>
              <w:pStyle w:val="47"/>
              <w:ind w:firstLine="480"/>
              <w:rPr>
                <w:color w:val="auto"/>
              </w:rPr>
            </w:pPr>
            <w:r>
              <w:rPr>
                <w:color w:val="auto"/>
              </w:rPr>
              <w:t>结合宿迁市实际，宿迁市深入打好污染防治攻坚战指挥部印发了《关于印发宿迁市2024年大气、水、土壤、工业固体废物污染防治工作方案的通知》（宿污防攻坚指〔2024〕8号）。宿迁市通过执行大气污染防治工作方案，可以降低全市PM</w:t>
            </w:r>
            <w:r>
              <w:rPr>
                <w:color w:val="auto"/>
                <w:vertAlign w:val="subscript"/>
              </w:rPr>
              <w:t>2.5</w:t>
            </w:r>
            <w:r>
              <w:rPr>
                <w:color w:val="auto"/>
              </w:rPr>
              <w:t>浓度，提升空气质量优良天数比例，遏制臭氧浓度增长趋势，使得环境空气质量得到进一步改善。随着大气污染防治方案的实施，环境空气质量将会有所好转。</w:t>
            </w:r>
          </w:p>
          <w:p w14:paraId="2A2176AC">
            <w:pPr>
              <w:pStyle w:val="47"/>
              <w:bidi w:val="0"/>
              <w:rPr>
                <w:b/>
                <w:bCs/>
                <w:color w:val="auto"/>
              </w:rPr>
            </w:pPr>
            <w:r>
              <w:rPr>
                <w:b/>
                <w:bCs/>
                <w:color w:val="auto"/>
              </w:rPr>
              <w:t>2、地表水环境质量</w:t>
            </w:r>
          </w:p>
          <w:p w14:paraId="7BF3CEDD">
            <w:pPr>
              <w:pStyle w:val="47"/>
              <w:ind w:firstLine="480"/>
              <w:rPr>
                <w:color w:val="auto"/>
              </w:rPr>
            </w:pPr>
            <w:r>
              <w:rPr>
                <w:color w:val="auto"/>
              </w:rPr>
              <w:t>本项目仅外排职工生活污水，职工生活污水经化粪池预处理达标后接管至</w:t>
            </w:r>
            <w:r>
              <w:rPr>
                <w:rFonts w:hint="eastAsia"/>
                <w:color w:val="auto"/>
                <w:kern w:val="0"/>
                <w:szCs w:val="24"/>
                <w:lang w:bidi="ar"/>
              </w:rPr>
              <w:t>新袁镇污水处理厂</w:t>
            </w:r>
            <w:r>
              <w:rPr>
                <w:color w:val="auto"/>
              </w:rPr>
              <w:t>集中处理，尾水排入</w:t>
            </w:r>
            <w:r>
              <w:rPr>
                <w:rFonts w:hint="eastAsia"/>
                <w:color w:val="auto"/>
                <w:kern w:val="0"/>
                <w:szCs w:val="24"/>
                <w:lang w:bidi="ar"/>
              </w:rPr>
              <w:t>黄码河</w:t>
            </w:r>
            <w:r>
              <w:rPr>
                <w:color w:val="auto"/>
              </w:rPr>
              <w:t>。</w:t>
            </w:r>
            <w:r>
              <w:rPr>
                <w:rFonts w:hint="eastAsia"/>
                <w:color w:val="auto"/>
                <w:kern w:val="0"/>
                <w:szCs w:val="24"/>
                <w:lang w:bidi="ar"/>
              </w:rPr>
              <w:t>黄码河</w:t>
            </w:r>
            <w:r>
              <w:rPr>
                <w:color w:val="auto"/>
              </w:rPr>
              <w:t>水质执行《地表水环境质量标准》（GB3838-2002）中的</w:t>
            </w:r>
            <w:r>
              <w:rPr>
                <w:color w:val="auto"/>
                <w:szCs w:val="24"/>
              </w:rPr>
              <w:fldChar w:fldCharType="begin"/>
            </w:r>
            <w:r>
              <w:rPr>
                <w:color w:val="auto"/>
                <w:szCs w:val="24"/>
              </w:rPr>
              <w:instrText xml:space="preserve"> = 3 \* ROMAN \* MERGEFORMAT </w:instrText>
            </w:r>
            <w:r>
              <w:rPr>
                <w:color w:val="auto"/>
                <w:szCs w:val="24"/>
              </w:rPr>
              <w:fldChar w:fldCharType="separate"/>
            </w:r>
            <w:r>
              <w:rPr>
                <w:color w:val="auto"/>
              </w:rPr>
              <w:t>III</w:t>
            </w:r>
            <w:r>
              <w:rPr>
                <w:color w:val="auto"/>
                <w:szCs w:val="24"/>
              </w:rPr>
              <w:fldChar w:fldCharType="end"/>
            </w:r>
            <w:r>
              <w:rPr>
                <w:color w:val="auto"/>
              </w:rPr>
              <w:t>类标准。</w:t>
            </w:r>
          </w:p>
          <w:p w14:paraId="23F437B4">
            <w:pPr>
              <w:pStyle w:val="47"/>
              <w:ind w:firstLine="480"/>
              <w:rPr>
                <w:color w:val="auto"/>
              </w:rPr>
            </w:pPr>
            <w:r>
              <w:rPr>
                <w:color w:val="auto"/>
              </w:rPr>
              <w:t>地表水环境质量现状引用</w:t>
            </w:r>
            <w:r>
              <w:rPr>
                <w:rFonts w:hint="eastAsia"/>
                <w:color w:val="auto"/>
                <w:kern w:val="0"/>
                <w:szCs w:val="24"/>
                <w:lang w:bidi="ar"/>
              </w:rPr>
              <w:t>《泗阳县新袁镇工业园区开发建设规划环境影响报告书》</w:t>
            </w:r>
            <w:r>
              <w:rPr>
                <w:color w:val="auto"/>
              </w:rPr>
              <w:t>中的监测数据，监测时间为</w:t>
            </w:r>
            <w:r>
              <w:rPr>
                <w:rFonts w:hint="eastAsia"/>
                <w:color w:val="auto"/>
                <w:kern w:val="0"/>
                <w:szCs w:val="24"/>
                <w:lang w:bidi="ar"/>
              </w:rPr>
              <w:t>2023年8月3日~8月5日</w:t>
            </w:r>
            <w:r>
              <w:rPr>
                <w:color w:val="auto"/>
              </w:rPr>
              <w:t>，在三年有效期内，且相关引用数据监测点位在本项目评价水体范围内，因此引用数据有效。详见</w:t>
            </w:r>
            <w:r>
              <w:rPr>
                <w:color w:val="auto"/>
              </w:rPr>
              <w:fldChar w:fldCharType="begin"/>
            </w:r>
            <w:r>
              <w:rPr>
                <w:color w:val="auto"/>
              </w:rPr>
              <w:instrText xml:space="preserve"> REF _Ref9062 \h </w:instrText>
            </w:r>
            <w:r>
              <w:rPr>
                <w:color w:val="auto"/>
              </w:rPr>
              <w:fldChar w:fldCharType="separate"/>
            </w:r>
            <w:r>
              <w:rPr>
                <w:color w:val="auto"/>
              </w:rPr>
              <w:t>表3- 1</w:t>
            </w:r>
            <w:r>
              <w:rPr>
                <w:color w:val="auto"/>
              </w:rPr>
              <w:fldChar w:fldCharType="end"/>
            </w:r>
            <w:r>
              <w:rPr>
                <w:color w:val="auto"/>
              </w:rPr>
              <w:t>。</w:t>
            </w:r>
          </w:p>
          <w:p w14:paraId="73BE3B07">
            <w:pPr>
              <w:pStyle w:val="7"/>
              <w:rPr>
                <w:color w:val="auto"/>
              </w:rPr>
            </w:pPr>
            <w:bookmarkStart w:id="38" w:name="_Ref9062"/>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1</w:t>
            </w:r>
            <w:r>
              <w:rPr>
                <w:color w:val="auto"/>
              </w:rPr>
              <w:fldChar w:fldCharType="end"/>
            </w:r>
            <w:bookmarkEnd w:id="38"/>
            <w:r>
              <w:rPr>
                <w:color w:val="auto"/>
              </w:rPr>
              <w:t xml:space="preserve"> 地表水监测数据（单位：mg/L</w:t>
            </w:r>
            <w:r>
              <w:rPr>
                <w:rFonts w:hint="eastAsia"/>
                <w:color w:val="auto"/>
              </w:rPr>
              <w:t>，pH无量纲</w:t>
            </w:r>
            <w:r>
              <w:rPr>
                <w:color w:val="auto"/>
              </w:rPr>
              <w:t>）</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080"/>
              <w:gridCol w:w="997"/>
              <w:gridCol w:w="998"/>
              <w:gridCol w:w="998"/>
              <w:gridCol w:w="998"/>
              <w:gridCol w:w="998"/>
              <w:gridCol w:w="1002"/>
            </w:tblGrid>
            <w:tr w14:paraId="0B90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7" w:type="pct"/>
                  <w:tcBorders>
                    <w:tl2br w:val="nil"/>
                    <w:tr2bl w:val="nil"/>
                  </w:tcBorders>
                  <w:vAlign w:val="center"/>
                </w:tcPr>
                <w:p w14:paraId="2A3485F5">
                  <w:pPr>
                    <w:pStyle w:val="49"/>
                    <w:rPr>
                      <w:color w:val="auto"/>
                    </w:rPr>
                  </w:pPr>
                  <w:r>
                    <w:rPr>
                      <w:rFonts w:hint="eastAsia"/>
                      <w:color w:val="auto"/>
                    </w:rPr>
                    <w:t>监测断面</w:t>
                  </w:r>
                </w:p>
              </w:tc>
              <w:tc>
                <w:tcPr>
                  <w:tcW w:w="640" w:type="pct"/>
                  <w:tcBorders>
                    <w:tl2br w:val="nil"/>
                    <w:tr2bl w:val="nil"/>
                  </w:tcBorders>
                  <w:vAlign w:val="center"/>
                </w:tcPr>
                <w:p w14:paraId="1AB7BC43">
                  <w:pPr>
                    <w:pStyle w:val="49"/>
                    <w:rPr>
                      <w:color w:val="auto"/>
                    </w:rPr>
                  </w:pPr>
                  <w:r>
                    <w:rPr>
                      <w:color w:val="auto"/>
                    </w:rPr>
                    <w:t>监测项目</w:t>
                  </w:r>
                </w:p>
              </w:tc>
              <w:tc>
                <w:tcPr>
                  <w:tcW w:w="591" w:type="pct"/>
                  <w:tcBorders>
                    <w:right w:val="single" w:color="auto" w:sz="4" w:space="0"/>
                    <w:tl2br w:val="nil"/>
                    <w:tr2bl w:val="nil"/>
                  </w:tcBorders>
                  <w:vAlign w:val="center"/>
                </w:tcPr>
                <w:p w14:paraId="060D266C">
                  <w:pPr>
                    <w:pStyle w:val="49"/>
                    <w:rPr>
                      <w:color w:val="auto"/>
                    </w:rPr>
                  </w:pPr>
                  <w:r>
                    <w:rPr>
                      <w:color w:val="auto"/>
                    </w:rPr>
                    <w:t>pH</w:t>
                  </w:r>
                </w:p>
              </w:tc>
              <w:tc>
                <w:tcPr>
                  <w:tcW w:w="591" w:type="pct"/>
                  <w:tcBorders>
                    <w:right w:val="single" w:color="auto" w:sz="4" w:space="0"/>
                    <w:tl2br w:val="nil"/>
                    <w:tr2bl w:val="nil"/>
                  </w:tcBorders>
                  <w:vAlign w:val="center"/>
                </w:tcPr>
                <w:p w14:paraId="01BA3E54">
                  <w:pPr>
                    <w:pStyle w:val="49"/>
                    <w:rPr>
                      <w:color w:val="auto"/>
                    </w:rPr>
                  </w:pPr>
                  <w:r>
                    <w:rPr>
                      <w:color w:val="auto"/>
                    </w:rPr>
                    <w:t>COD</w:t>
                  </w:r>
                </w:p>
              </w:tc>
              <w:tc>
                <w:tcPr>
                  <w:tcW w:w="591" w:type="pct"/>
                  <w:tcBorders>
                    <w:right w:val="single" w:color="000000" w:sz="4" w:space="0"/>
                    <w:tl2br w:val="nil"/>
                    <w:tr2bl w:val="nil"/>
                  </w:tcBorders>
                  <w:vAlign w:val="center"/>
                </w:tcPr>
                <w:p w14:paraId="2B861F89">
                  <w:pPr>
                    <w:pStyle w:val="49"/>
                    <w:rPr>
                      <w:color w:val="auto"/>
                    </w:rPr>
                  </w:pPr>
                  <w:r>
                    <w:rPr>
                      <w:color w:val="auto"/>
                    </w:rPr>
                    <w:t>SS</w:t>
                  </w:r>
                </w:p>
              </w:tc>
              <w:tc>
                <w:tcPr>
                  <w:tcW w:w="591" w:type="pct"/>
                  <w:tcBorders>
                    <w:tl2br w:val="nil"/>
                    <w:tr2bl w:val="nil"/>
                  </w:tcBorders>
                  <w:vAlign w:val="center"/>
                </w:tcPr>
                <w:p w14:paraId="2912B698">
                  <w:pPr>
                    <w:pStyle w:val="49"/>
                    <w:rPr>
                      <w:color w:val="auto"/>
                    </w:rPr>
                  </w:pPr>
                  <w:r>
                    <w:rPr>
                      <w:color w:val="auto"/>
                    </w:rPr>
                    <w:t>氨氮</w:t>
                  </w:r>
                </w:p>
              </w:tc>
              <w:tc>
                <w:tcPr>
                  <w:tcW w:w="591" w:type="pct"/>
                  <w:tcBorders>
                    <w:tl2br w:val="nil"/>
                    <w:tr2bl w:val="nil"/>
                  </w:tcBorders>
                  <w:vAlign w:val="center"/>
                </w:tcPr>
                <w:p w14:paraId="6F67F82E">
                  <w:pPr>
                    <w:pStyle w:val="49"/>
                    <w:rPr>
                      <w:color w:val="auto"/>
                    </w:rPr>
                  </w:pPr>
                  <w:r>
                    <w:rPr>
                      <w:color w:val="auto"/>
                    </w:rPr>
                    <w:t>总磷</w:t>
                  </w:r>
                </w:p>
              </w:tc>
              <w:tc>
                <w:tcPr>
                  <w:tcW w:w="593" w:type="pct"/>
                  <w:tcBorders>
                    <w:tl2br w:val="nil"/>
                    <w:tr2bl w:val="nil"/>
                  </w:tcBorders>
                  <w:vAlign w:val="center"/>
                </w:tcPr>
                <w:p w14:paraId="1724FEE3">
                  <w:pPr>
                    <w:pStyle w:val="49"/>
                    <w:rPr>
                      <w:color w:val="auto"/>
                    </w:rPr>
                  </w:pPr>
                  <w:r>
                    <w:rPr>
                      <w:color w:val="auto"/>
                    </w:rPr>
                    <w:t>总氮</w:t>
                  </w:r>
                </w:p>
              </w:tc>
            </w:tr>
            <w:tr w14:paraId="0793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7" w:type="pct"/>
                  <w:vMerge w:val="restart"/>
                  <w:tcBorders>
                    <w:tl2br w:val="nil"/>
                    <w:tr2bl w:val="nil"/>
                  </w:tcBorders>
                  <w:vAlign w:val="center"/>
                </w:tcPr>
                <w:p w14:paraId="4B7376FB">
                  <w:pPr>
                    <w:pStyle w:val="51"/>
                    <w:rPr>
                      <w:color w:val="auto"/>
                    </w:rPr>
                  </w:pPr>
                  <w:r>
                    <w:rPr>
                      <w:rFonts w:hint="eastAsia"/>
                      <w:color w:val="auto"/>
                    </w:rPr>
                    <w:t>渔业水-坝头村东侧</w:t>
                  </w:r>
                </w:p>
              </w:tc>
              <w:tc>
                <w:tcPr>
                  <w:tcW w:w="640" w:type="pct"/>
                  <w:tcBorders>
                    <w:tl2br w:val="nil"/>
                    <w:tr2bl w:val="nil"/>
                  </w:tcBorders>
                  <w:vAlign w:val="center"/>
                </w:tcPr>
                <w:p w14:paraId="674590F4">
                  <w:pPr>
                    <w:pStyle w:val="51"/>
                    <w:rPr>
                      <w:color w:val="auto"/>
                    </w:rPr>
                  </w:pPr>
                  <w:r>
                    <w:rPr>
                      <w:rFonts w:hint="eastAsia"/>
                      <w:color w:val="auto"/>
                    </w:rPr>
                    <w:t>最小值</w:t>
                  </w:r>
                </w:p>
              </w:tc>
              <w:tc>
                <w:tcPr>
                  <w:tcW w:w="591" w:type="pct"/>
                  <w:tcBorders>
                    <w:right w:val="single" w:color="000000" w:sz="4" w:space="0"/>
                    <w:tl2br w:val="nil"/>
                    <w:tr2bl w:val="nil"/>
                  </w:tcBorders>
                  <w:vAlign w:val="center"/>
                </w:tcPr>
                <w:p w14:paraId="0FA22E7A">
                  <w:pPr>
                    <w:pStyle w:val="51"/>
                    <w:rPr>
                      <w:color w:val="auto"/>
                    </w:rPr>
                  </w:pPr>
                  <w:r>
                    <w:rPr>
                      <w:color w:val="auto"/>
                    </w:rPr>
                    <w:t>7.17</w:t>
                  </w:r>
                </w:p>
              </w:tc>
              <w:tc>
                <w:tcPr>
                  <w:tcW w:w="591" w:type="pct"/>
                  <w:tcBorders>
                    <w:left w:val="single" w:color="000000" w:sz="4" w:space="0"/>
                    <w:tl2br w:val="nil"/>
                    <w:tr2bl w:val="nil"/>
                  </w:tcBorders>
                  <w:vAlign w:val="center"/>
                </w:tcPr>
                <w:p w14:paraId="7F0380F1">
                  <w:pPr>
                    <w:pStyle w:val="51"/>
                    <w:rPr>
                      <w:color w:val="auto"/>
                    </w:rPr>
                  </w:pPr>
                  <w:r>
                    <w:rPr>
                      <w:color w:val="auto"/>
                    </w:rPr>
                    <w:t>9</w:t>
                  </w:r>
                </w:p>
              </w:tc>
              <w:tc>
                <w:tcPr>
                  <w:tcW w:w="591" w:type="pct"/>
                  <w:tcBorders>
                    <w:right w:val="single" w:color="000000" w:sz="4" w:space="0"/>
                    <w:tl2br w:val="nil"/>
                    <w:tr2bl w:val="nil"/>
                  </w:tcBorders>
                  <w:vAlign w:val="center"/>
                </w:tcPr>
                <w:p w14:paraId="287B4D27">
                  <w:pPr>
                    <w:pStyle w:val="51"/>
                    <w:rPr>
                      <w:color w:val="auto"/>
                    </w:rPr>
                  </w:pPr>
                  <w:r>
                    <w:rPr>
                      <w:color w:val="auto"/>
                    </w:rPr>
                    <w:t>3.7</w:t>
                  </w:r>
                </w:p>
              </w:tc>
              <w:tc>
                <w:tcPr>
                  <w:tcW w:w="591" w:type="pct"/>
                  <w:tcBorders>
                    <w:tl2br w:val="nil"/>
                    <w:tr2bl w:val="nil"/>
                  </w:tcBorders>
                  <w:vAlign w:val="center"/>
                </w:tcPr>
                <w:p w14:paraId="0B1EC75B">
                  <w:pPr>
                    <w:pStyle w:val="51"/>
                    <w:rPr>
                      <w:color w:val="auto"/>
                    </w:rPr>
                  </w:pPr>
                  <w:r>
                    <w:rPr>
                      <w:color w:val="auto"/>
                    </w:rPr>
                    <w:t>16</w:t>
                  </w:r>
                </w:p>
              </w:tc>
              <w:tc>
                <w:tcPr>
                  <w:tcW w:w="591" w:type="pct"/>
                  <w:tcBorders>
                    <w:tl2br w:val="nil"/>
                    <w:tr2bl w:val="nil"/>
                  </w:tcBorders>
                  <w:vAlign w:val="center"/>
                </w:tcPr>
                <w:p w14:paraId="7B7D377C">
                  <w:pPr>
                    <w:pStyle w:val="51"/>
                    <w:rPr>
                      <w:color w:val="auto"/>
                    </w:rPr>
                  </w:pPr>
                  <w:r>
                    <w:rPr>
                      <w:color w:val="auto"/>
                    </w:rPr>
                    <w:t>0.05</w:t>
                  </w:r>
                </w:p>
              </w:tc>
              <w:tc>
                <w:tcPr>
                  <w:tcW w:w="593" w:type="pct"/>
                  <w:tcBorders>
                    <w:tl2br w:val="nil"/>
                    <w:tr2bl w:val="nil"/>
                  </w:tcBorders>
                  <w:vAlign w:val="center"/>
                </w:tcPr>
                <w:p w14:paraId="6F0E9590">
                  <w:pPr>
                    <w:pStyle w:val="51"/>
                    <w:rPr>
                      <w:color w:val="auto"/>
                    </w:rPr>
                  </w:pPr>
                  <w:r>
                    <w:rPr>
                      <w:color w:val="auto"/>
                    </w:rPr>
                    <w:t>0.91</w:t>
                  </w:r>
                </w:p>
              </w:tc>
            </w:tr>
            <w:tr w14:paraId="6221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jc w:val="center"/>
              </w:trPr>
              <w:tc>
                <w:tcPr>
                  <w:tcW w:w="807" w:type="pct"/>
                  <w:vMerge w:val="continue"/>
                  <w:tcBorders>
                    <w:tl2br w:val="nil"/>
                    <w:tr2bl w:val="nil"/>
                  </w:tcBorders>
                  <w:vAlign w:val="center"/>
                </w:tcPr>
                <w:p w14:paraId="3E4BC83A">
                  <w:pPr>
                    <w:pStyle w:val="51"/>
                    <w:rPr>
                      <w:color w:val="auto"/>
                    </w:rPr>
                  </w:pPr>
                </w:p>
              </w:tc>
              <w:tc>
                <w:tcPr>
                  <w:tcW w:w="640" w:type="pct"/>
                  <w:tcBorders>
                    <w:tl2br w:val="nil"/>
                    <w:tr2bl w:val="nil"/>
                  </w:tcBorders>
                  <w:vAlign w:val="center"/>
                </w:tcPr>
                <w:p w14:paraId="7F644E2B">
                  <w:pPr>
                    <w:pStyle w:val="51"/>
                    <w:rPr>
                      <w:color w:val="auto"/>
                    </w:rPr>
                  </w:pPr>
                  <w:r>
                    <w:rPr>
                      <w:rFonts w:hint="eastAsia"/>
                      <w:color w:val="auto"/>
                    </w:rPr>
                    <w:t>最大值</w:t>
                  </w:r>
                </w:p>
              </w:tc>
              <w:tc>
                <w:tcPr>
                  <w:tcW w:w="591" w:type="pct"/>
                  <w:tcBorders>
                    <w:tl2br w:val="nil"/>
                    <w:tr2bl w:val="nil"/>
                  </w:tcBorders>
                  <w:vAlign w:val="center"/>
                </w:tcPr>
                <w:p w14:paraId="28DD7D60">
                  <w:pPr>
                    <w:pStyle w:val="51"/>
                    <w:rPr>
                      <w:color w:val="auto"/>
                    </w:rPr>
                  </w:pPr>
                  <w:r>
                    <w:rPr>
                      <w:color w:val="auto"/>
                    </w:rPr>
                    <w:t>7.36</w:t>
                  </w:r>
                </w:p>
              </w:tc>
              <w:tc>
                <w:tcPr>
                  <w:tcW w:w="591" w:type="pct"/>
                  <w:tcBorders>
                    <w:tl2br w:val="nil"/>
                    <w:tr2bl w:val="nil"/>
                  </w:tcBorders>
                  <w:vAlign w:val="center"/>
                </w:tcPr>
                <w:p w14:paraId="57708493">
                  <w:pPr>
                    <w:pStyle w:val="51"/>
                    <w:rPr>
                      <w:color w:val="auto"/>
                    </w:rPr>
                  </w:pPr>
                  <w:r>
                    <w:rPr>
                      <w:color w:val="auto"/>
                    </w:rPr>
                    <w:t>19</w:t>
                  </w:r>
                </w:p>
              </w:tc>
              <w:tc>
                <w:tcPr>
                  <w:tcW w:w="591" w:type="pct"/>
                  <w:tcBorders>
                    <w:tl2br w:val="nil"/>
                    <w:tr2bl w:val="nil"/>
                  </w:tcBorders>
                  <w:vAlign w:val="center"/>
                </w:tcPr>
                <w:p w14:paraId="29295FE7">
                  <w:pPr>
                    <w:pStyle w:val="51"/>
                    <w:rPr>
                      <w:color w:val="auto"/>
                    </w:rPr>
                  </w:pPr>
                  <w:r>
                    <w:rPr>
                      <w:color w:val="auto"/>
                    </w:rPr>
                    <w:t>4.8</w:t>
                  </w:r>
                </w:p>
              </w:tc>
              <w:tc>
                <w:tcPr>
                  <w:tcW w:w="591" w:type="pct"/>
                  <w:tcBorders>
                    <w:tl2br w:val="nil"/>
                    <w:tr2bl w:val="nil"/>
                  </w:tcBorders>
                  <w:vAlign w:val="center"/>
                </w:tcPr>
                <w:p w14:paraId="1AD5189F">
                  <w:pPr>
                    <w:pStyle w:val="51"/>
                    <w:rPr>
                      <w:color w:val="auto"/>
                    </w:rPr>
                  </w:pPr>
                  <w:r>
                    <w:rPr>
                      <w:color w:val="auto"/>
                    </w:rPr>
                    <w:t>18</w:t>
                  </w:r>
                </w:p>
              </w:tc>
              <w:tc>
                <w:tcPr>
                  <w:tcW w:w="591" w:type="pct"/>
                  <w:tcBorders>
                    <w:tl2br w:val="nil"/>
                    <w:tr2bl w:val="nil"/>
                  </w:tcBorders>
                  <w:vAlign w:val="center"/>
                </w:tcPr>
                <w:p w14:paraId="13E23C0B">
                  <w:pPr>
                    <w:pStyle w:val="51"/>
                    <w:rPr>
                      <w:color w:val="auto"/>
                    </w:rPr>
                  </w:pPr>
                  <w:r>
                    <w:rPr>
                      <w:color w:val="auto"/>
                    </w:rPr>
                    <w:t>0.21</w:t>
                  </w:r>
                </w:p>
              </w:tc>
              <w:tc>
                <w:tcPr>
                  <w:tcW w:w="593" w:type="pct"/>
                  <w:tcBorders>
                    <w:tl2br w:val="nil"/>
                    <w:tr2bl w:val="nil"/>
                  </w:tcBorders>
                  <w:vAlign w:val="center"/>
                </w:tcPr>
                <w:p w14:paraId="4B19F56A">
                  <w:pPr>
                    <w:pStyle w:val="51"/>
                    <w:rPr>
                      <w:color w:val="auto"/>
                    </w:rPr>
                  </w:pPr>
                  <w:r>
                    <w:rPr>
                      <w:color w:val="auto"/>
                    </w:rPr>
                    <w:t>1.45</w:t>
                  </w:r>
                </w:p>
              </w:tc>
            </w:tr>
            <w:tr w14:paraId="2FCC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7" w:type="pct"/>
                  <w:vMerge w:val="continue"/>
                  <w:tcBorders>
                    <w:tl2br w:val="nil"/>
                    <w:tr2bl w:val="nil"/>
                  </w:tcBorders>
                  <w:vAlign w:val="center"/>
                </w:tcPr>
                <w:p w14:paraId="40229C52">
                  <w:pPr>
                    <w:pStyle w:val="51"/>
                    <w:rPr>
                      <w:color w:val="auto"/>
                    </w:rPr>
                  </w:pPr>
                </w:p>
              </w:tc>
              <w:tc>
                <w:tcPr>
                  <w:tcW w:w="640" w:type="pct"/>
                  <w:tcBorders>
                    <w:tl2br w:val="nil"/>
                    <w:tr2bl w:val="nil"/>
                  </w:tcBorders>
                  <w:vAlign w:val="center"/>
                </w:tcPr>
                <w:p w14:paraId="23A2227A">
                  <w:pPr>
                    <w:pStyle w:val="51"/>
                    <w:rPr>
                      <w:color w:val="auto"/>
                    </w:rPr>
                  </w:pPr>
                  <w:r>
                    <w:rPr>
                      <w:rFonts w:hint="eastAsia"/>
                      <w:color w:val="auto"/>
                    </w:rPr>
                    <w:t>平均值</w:t>
                  </w:r>
                </w:p>
              </w:tc>
              <w:tc>
                <w:tcPr>
                  <w:tcW w:w="591" w:type="pct"/>
                  <w:tcBorders>
                    <w:tl2br w:val="nil"/>
                    <w:tr2bl w:val="nil"/>
                  </w:tcBorders>
                  <w:vAlign w:val="center"/>
                </w:tcPr>
                <w:p w14:paraId="63373A62">
                  <w:pPr>
                    <w:pStyle w:val="51"/>
                    <w:rPr>
                      <w:color w:val="auto"/>
                    </w:rPr>
                  </w:pPr>
                  <w:r>
                    <w:rPr>
                      <w:color w:val="auto"/>
                    </w:rPr>
                    <w:t>7.26</w:t>
                  </w:r>
                </w:p>
              </w:tc>
              <w:tc>
                <w:tcPr>
                  <w:tcW w:w="591" w:type="pct"/>
                  <w:tcBorders>
                    <w:tl2br w:val="nil"/>
                    <w:tr2bl w:val="nil"/>
                  </w:tcBorders>
                  <w:vAlign w:val="center"/>
                </w:tcPr>
                <w:p w14:paraId="7E0C0F4D">
                  <w:pPr>
                    <w:pStyle w:val="51"/>
                    <w:rPr>
                      <w:color w:val="auto"/>
                    </w:rPr>
                  </w:pPr>
                  <w:r>
                    <w:rPr>
                      <w:color w:val="auto"/>
                    </w:rPr>
                    <w:t>13.67</w:t>
                  </w:r>
                </w:p>
              </w:tc>
              <w:tc>
                <w:tcPr>
                  <w:tcW w:w="591" w:type="pct"/>
                  <w:tcBorders>
                    <w:tl2br w:val="nil"/>
                    <w:tr2bl w:val="nil"/>
                  </w:tcBorders>
                  <w:vAlign w:val="center"/>
                </w:tcPr>
                <w:p w14:paraId="154F2FB5">
                  <w:pPr>
                    <w:pStyle w:val="51"/>
                    <w:rPr>
                      <w:color w:val="auto"/>
                    </w:rPr>
                  </w:pPr>
                  <w:r>
                    <w:rPr>
                      <w:color w:val="auto"/>
                    </w:rPr>
                    <w:t>4.23</w:t>
                  </w:r>
                </w:p>
              </w:tc>
              <w:tc>
                <w:tcPr>
                  <w:tcW w:w="591" w:type="pct"/>
                  <w:tcBorders>
                    <w:tl2br w:val="nil"/>
                    <w:tr2bl w:val="nil"/>
                  </w:tcBorders>
                  <w:vAlign w:val="center"/>
                </w:tcPr>
                <w:p w14:paraId="1A489C89">
                  <w:pPr>
                    <w:pStyle w:val="51"/>
                    <w:rPr>
                      <w:color w:val="auto"/>
                    </w:rPr>
                  </w:pPr>
                  <w:r>
                    <w:rPr>
                      <w:color w:val="auto"/>
                    </w:rPr>
                    <w:t>17</w:t>
                  </w:r>
                </w:p>
              </w:tc>
              <w:tc>
                <w:tcPr>
                  <w:tcW w:w="591" w:type="pct"/>
                  <w:tcBorders>
                    <w:tl2br w:val="nil"/>
                    <w:tr2bl w:val="nil"/>
                  </w:tcBorders>
                  <w:vAlign w:val="center"/>
                </w:tcPr>
                <w:p w14:paraId="4D181B7A">
                  <w:pPr>
                    <w:pStyle w:val="51"/>
                    <w:rPr>
                      <w:color w:val="auto"/>
                    </w:rPr>
                  </w:pPr>
                  <w:r>
                    <w:rPr>
                      <w:color w:val="auto"/>
                    </w:rPr>
                    <w:t>0.14</w:t>
                  </w:r>
                </w:p>
              </w:tc>
              <w:tc>
                <w:tcPr>
                  <w:tcW w:w="593" w:type="pct"/>
                  <w:tcBorders>
                    <w:tl2br w:val="nil"/>
                    <w:tr2bl w:val="nil"/>
                  </w:tcBorders>
                  <w:vAlign w:val="center"/>
                </w:tcPr>
                <w:p w14:paraId="44EEDC5E">
                  <w:pPr>
                    <w:pStyle w:val="51"/>
                    <w:rPr>
                      <w:color w:val="auto"/>
                    </w:rPr>
                  </w:pPr>
                  <w:r>
                    <w:rPr>
                      <w:color w:val="auto"/>
                    </w:rPr>
                    <w:t>1.13</w:t>
                  </w:r>
                </w:p>
              </w:tc>
            </w:tr>
            <w:tr w14:paraId="4819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jc w:val="center"/>
              </w:trPr>
              <w:tc>
                <w:tcPr>
                  <w:tcW w:w="807" w:type="pct"/>
                  <w:vMerge w:val="restart"/>
                  <w:tcBorders>
                    <w:top w:val="single" w:color="000000" w:sz="4" w:space="0"/>
                    <w:tl2br w:val="nil"/>
                    <w:tr2bl w:val="nil"/>
                  </w:tcBorders>
                  <w:vAlign w:val="center"/>
                </w:tcPr>
                <w:p w14:paraId="1FE744FF">
                  <w:pPr>
                    <w:pStyle w:val="51"/>
                    <w:rPr>
                      <w:color w:val="auto"/>
                    </w:rPr>
                  </w:pPr>
                  <w:r>
                    <w:rPr>
                      <w:color w:val="auto"/>
                    </w:rPr>
                    <w:t>黄码河-新袁镇污水处理厂排口下游</w:t>
                  </w:r>
                </w:p>
              </w:tc>
              <w:tc>
                <w:tcPr>
                  <w:tcW w:w="640" w:type="pct"/>
                  <w:tcBorders>
                    <w:tl2br w:val="nil"/>
                    <w:tr2bl w:val="nil"/>
                  </w:tcBorders>
                  <w:vAlign w:val="center"/>
                </w:tcPr>
                <w:p w14:paraId="30212C15">
                  <w:pPr>
                    <w:pStyle w:val="51"/>
                    <w:rPr>
                      <w:color w:val="auto"/>
                    </w:rPr>
                  </w:pPr>
                  <w:r>
                    <w:rPr>
                      <w:rFonts w:hint="eastAsia"/>
                      <w:color w:val="auto"/>
                    </w:rPr>
                    <w:t>最小值</w:t>
                  </w:r>
                </w:p>
              </w:tc>
              <w:tc>
                <w:tcPr>
                  <w:tcW w:w="591" w:type="pct"/>
                  <w:tcBorders>
                    <w:tl2br w:val="nil"/>
                    <w:tr2bl w:val="nil"/>
                  </w:tcBorders>
                  <w:vAlign w:val="center"/>
                </w:tcPr>
                <w:p w14:paraId="264E3116">
                  <w:pPr>
                    <w:pStyle w:val="51"/>
                    <w:rPr>
                      <w:color w:val="auto"/>
                    </w:rPr>
                  </w:pPr>
                  <w:r>
                    <w:rPr>
                      <w:color w:val="auto"/>
                    </w:rPr>
                    <w:t>6.84</w:t>
                  </w:r>
                </w:p>
              </w:tc>
              <w:tc>
                <w:tcPr>
                  <w:tcW w:w="591" w:type="pct"/>
                  <w:tcBorders>
                    <w:tl2br w:val="nil"/>
                    <w:tr2bl w:val="nil"/>
                  </w:tcBorders>
                  <w:vAlign w:val="center"/>
                </w:tcPr>
                <w:p w14:paraId="3452BD46">
                  <w:pPr>
                    <w:pStyle w:val="51"/>
                    <w:rPr>
                      <w:color w:val="auto"/>
                    </w:rPr>
                  </w:pPr>
                  <w:r>
                    <w:rPr>
                      <w:color w:val="auto"/>
                    </w:rPr>
                    <w:t>8</w:t>
                  </w:r>
                </w:p>
              </w:tc>
              <w:tc>
                <w:tcPr>
                  <w:tcW w:w="591" w:type="pct"/>
                  <w:tcBorders>
                    <w:tl2br w:val="nil"/>
                    <w:tr2bl w:val="nil"/>
                  </w:tcBorders>
                  <w:vAlign w:val="center"/>
                </w:tcPr>
                <w:p w14:paraId="0810BDC5">
                  <w:pPr>
                    <w:pStyle w:val="51"/>
                    <w:rPr>
                      <w:color w:val="auto"/>
                    </w:rPr>
                  </w:pPr>
                  <w:r>
                    <w:rPr>
                      <w:color w:val="auto"/>
                    </w:rPr>
                    <w:t>14</w:t>
                  </w:r>
                </w:p>
              </w:tc>
              <w:tc>
                <w:tcPr>
                  <w:tcW w:w="591" w:type="pct"/>
                  <w:tcBorders>
                    <w:tl2br w:val="nil"/>
                    <w:tr2bl w:val="nil"/>
                  </w:tcBorders>
                  <w:vAlign w:val="center"/>
                </w:tcPr>
                <w:p w14:paraId="10CC7569">
                  <w:pPr>
                    <w:pStyle w:val="51"/>
                    <w:rPr>
                      <w:color w:val="auto"/>
                    </w:rPr>
                  </w:pPr>
                  <w:r>
                    <w:rPr>
                      <w:color w:val="auto"/>
                    </w:rPr>
                    <w:t>0.944</w:t>
                  </w:r>
                </w:p>
              </w:tc>
              <w:tc>
                <w:tcPr>
                  <w:tcW w:w="591" w:type="pct"/>
                  <w:tcBorders>
                    <w:tl2br w:val="nil"/>
                    <w:tr2bl w:val="nil"/>
                  </w:tcBorders>
                  <w:vAlign w:val="center"/>
                </w:tcPr>
                <w:p w14:paraId="7A2C2AE4">
                  <w:pPr>
                    <w:pStyle w:val="51"/>
                    <w:rPr>
                      <w:color w:val="auto"/>
                    </w:rPr>
                  </w:pPr>
                  <w:r>
                    <w:rPr>
                      <w:color w:val="auto"/>
                    </w:rPr>
                    <w:t>0.15</w:t>
                  </w:r>
                </w:p>
              </w:tc>
              <w:tc>
                <w:tcPr>
                  <w:tcW w:w="593" w:type="pct"/>
                  <w:tcBorders>
                    <w:tl2br w:val="nil"/>
                    <w:tr2bl w:val="nil"/>
                  </w:tcBorders>
                  <w:vAlign w:val="center"/>
                </w:tcPr>
                <w:p w14:paraId="35805557">
                  <w:pPr>
                    <w:pStyle w:val="51"/>
                    <w:rPr>
                      <w:color w:val="auto"/>
                    </w:rPr>
                  </w:pPr>
                  <w:r>
                    <w:rPr>
                      <w:color w:val="auto"/>
                    </w:rPr>
                    <w:t>1.12</w:t>
                  </w:r>
                </w:p>
              </w:tc>
            </w:tr>
            <w:tr w14:paraId="42F5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7" w:type="pct"/>
                  <w:vMerge w:val="continue"/>
                  <w:tcBorders>
                    <w:tl2br w:val="nil"/>
                    <w:tr2bl w:val="nil"/>
                  </w:tcBorders>
                  <w:vAlign w:val="center"/>
                </w:tcPr>
                <w:p w14:paraId="0FF43A6E">
                  <w:pPr>
                    <w:pStyle w:val="51"/>
                    <w:rPr>
                      <w:color w:val="auto"/>
                    </w:rPr>
                  </w:pPr>
                </w:p>
              </w:tc>
              <w:tc>
                <w:tcPr>
                  <w:tcW w:w="640" w:type="pct"/>
                  <w:tcBorders>
                    <w:tl2br w:val="nil"/>
                    <w:tr2bl w:val="nil"/>
                  </w:tcBorders>
                  <w:vAlign w:val="center"/>
                </w:tcPr>
                <w:p w14:paraId="500356EB">
                  <w:pPr>
                    <w:pStyle w:val="51"/>
                    <w:rPr>
                      <w:color w:val="auto"/>
                    </w:rPr>
                  </w:pPr>
                  <w:r>
                    <w:rPr>
                      <w:rFonts w:hint="eastAsia"/>
                      <w:color w:val="auto"/>
                    </w:rPr>
                    <w:t>最大值</w:t>
                  </w:r>
                </w:p>
              </w:tc>
              <w:tc>
                <w:tcPr>
                  <w:tcW w:w="591" w:type="pct"/>
                  <w:tcBorders>
                    <w:tl2br w:val="nil"/>
                    <w:tr2bl w:val="nil"/>
                  </w:tcBorders>
                  <w:vAlign w:val="center"/>
                </w:tcPr>
                <w:p w14:paraId="497ED026">
                  <w:pPr>
                    <w:pStyle w:val="51"/>
                    <w:rPr>
                      <w:color w:val="auto"/>
                    </w:rPr>
                  </w:pPr>
                  <w:r>
                    <w:rPr>
                      <w:color w:val="auto"/>
                    </w:rPr>
                    <w:t>7.08</w:t>
                  </w:r>
                </w:p>
              </w:tc>
              <w:tc>
                <w:tcPr>
                  <w:tcW w:w="591" w:type="pct"/>
                  <w:tcBorders>
                    <w:tl2br w:val="nil"/>
                    <w:tr2bl w:val="nil"/>
                  </w:tcBorders>
                  <w:vAlign w:val="center"/>
                </w:tcPr>
                <w:p w14:paraId="01C007DC">
                  <w:pPr>
                    <w:pStyle w:val="51"/>
                    <w:rPr>
                      <w:color w:val="auto"/>
                    </w:rPr>
                  </w:pPr>
                  <w:r>
                    <w:rPr>
                      <w:color w:val="auto"/>
                    </w:rPr>
                    <w:t>21</w:t>
                  </w:r>
                </w:p>
              </w:tc>
              <w:tc>
                <w:tcPr>
                  <w:tcW w:w="591" w:type="pct"/>
                  <w:tcBorders>
                    <w:tl2br w:val="nil"/>
                    <w:tr2bl w:val="nil"/>
                  </w:tcBorders>
                  <w:vAlign w:val="center"/>
                </w:tcPr>
                <w:p w14:paraId="1F770E35">
                  <w:pPr>
                    <w:pStyle w:val="51"/>
                    <w:rPr>
                      <w:color w:val="auto"/>
                    </w:rPr>
                  </w:pPr>
                  <w:r>
                    <w:rPr>
                      <w:color w:val="auto"/>
                    </w:rPr>
                    <w:t>19</w:t>
                  </w:r>
                </w:p>
              </w:tc>
              <w:tc>
                <w:tcPr>
                  <w:tcW w:w="591" w:type="pct"/>
                  <w:tcBorders>
                    <w:tl2br w:val="nil"/>
                    <w:tr2bl w:val="nil"/>
                  </w:tcBorders>
                  <w:vAlign w:val="center"/>
                </w:tcPr>
                <w:p w14:paraId="212EAADE">
                  <w:pPr>
                    <w:pStyle w:val="51"/>
                    <w:rPr>
                      <w:color w:val="auto"/>
                    </w:rPr>
                  </w:pPr>
                  <w:r>
                    <w:rPr>
                      <w:color w:val="auto"/>
                    </w:rPr>
                    <w:t>0.980</w:t>
                  </w:r>
                </w:p>
              </w:tc>
              <w:tc>
                <w:tcPr>
                  <w:tcW w:w="591" w:type="pct"/>
                  <w:tcBorders>
                    <w:tl2br w:val="nil"/>
                    <w:tr2bl w:val="nil"/>
                  </w:tcBorders>
                  <w:vAlign w:val="center"/>
                </w:tcPr>
                <w:p w14:paraId="4D9C7A1A">
                  <w:pPr>
                    <w:pStyle w:val="51"/>
                    <w:rPr>
                      <w:color w:val="auto"/>
                    </w:rPr>
                  </w:pPr>
                  <w:r>
                    <w:rPr>
                      <w:color w:val="auto"/>
                    </w:rPr>
                    <w:t>0.27</w:t>
                  </w:r>
                </w:p>
              </w:tc>
              <w:tc>
                <w:tcPr>
                  <w:tcW w:w="593" w:type="pct"/>
                  <w:tcBorders>
                    <w:tl2br w:val="nil"/>
                    <w:tr2bl w:val="nil"/>
                  </w:tcBorders>
                  <w:vAlign w:val="center"/>
                </w:tcPr>
                <w:p w14:paraId="4BF582A6">
                  <w:pPr>
                    <w:pStyle w:val="51"/>
                    <w:rPr>
                      <w:color w:val="auto"/>
                    </w:rPr>
                  </w:pPr>
                  <w:r>
                    <w:rPr>
                      <w:color w:val="auto"/>
                    </w:rPr>
                    <w:t>1.35</w:t>
                  </w:r>
                </w:p>
              </w:tc>
            </w:tr>
            <w:tr w14:paraId="3D6F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7" w:type="pct"/>
                  <w:vMerge w:val="continue"/>
                  <w:tcBorders>
                    <w:tl2br w:val="nil"/>
                    <w:tr2bl w:val="nil"/>
                  </w:tcBorders>
                  <w:vAlign w:val="center"/>
                </w:tcPr>
                <w:p w14:paraId="487A256D">
                  <w:pPr>
                    <w:pStyle w:val="51"/>
                    <w:rPr>
                      <w:color w:val="auto"/>
                    </w:rPr>
                  </w:pPr>
                </w:p>
              </w:tc>
              <w:tc>
                <w:tcPr>
                  <w:tcW w:w="640" w:type="pct"/>
                  <w:tcBorders>
                    <w:tl2br w:val="nil"/>
                    <w:tr2bl w:val="nil"/>
                  </w:tcBorders>
                  <w:vAlign w:val="center"/>
                </w:tcPr>
                <w:p w14:paraId="5BEC9A0D">
                  <w:pPr>
                    <w:pStyle w:val="51"/>
                    <w:rPr>
                      <w:color w:val="auto"/>
                    </w:rPr>
                  </w:pPr>
                  <w:r>
                    <w:rPr>
                      <w:rFonts w:hint="eastAsia"/>
                      <w:color w:val="auto"/>
                    </w:rPr>
                    <w:t>平均值</w:t>
                  </w:r>
                </w:p>
              </w:tc>
              <w:tc>
                <w:tcPr>
                  <w:tcW w:w="591" w:type="pct"/>
                  <w:tcBorders>
                    <w:tl2br w:val="nil"/>
                    <w:tr2bl w:val="nil"/>
                  </w:tcBorders>
                  <w:vAlign w:val="center"/>
                </w:tcPr>
                <w:p w14:paraId="6ABC2CEF">
                  <w:pPr>
                    <w:pStyle w:val="51"/>
                    <w:rPr>
                      <w:color w:val="auto"/>
                    </w:rPr>
                  </w:pPr>
                  <w:r>
                    <w:rPr>
                      <w:color w:val="auto"/>
                    </w:rPr>
                    <w:t>6.96</w:t>
                  </w:r>
                </w:p>
              </w:tc>
              <w:tc>
                <w:tcPr>
                  <w:tcW w:w="591" w:type="pct"/>
                  <w:tcBorders>
                    <w:tl2br w:val="nil"/>
                    <w:tr2bl w:val="nil"/>
                  </w:tcBorders>
                  <w:vAlign w:val="center"/>
                </w:tcPr>
                <w:p w14:paraId="7AF07700">
                  <w:pPr>
                    <w:pStyle w:val="51"/>
                    <w:rPr>
                      <w:color w:val="auto"/>
                    </w:rPr>
                  </w:pPr>
                  <w:r>
                    <w:rPr>
                      <w:color w:val="auto"/>
                    </w:rPr>
                    <w:t>12.7</w:t>
                  </w:r>
                </w:p>
              </w:tc>
              <w:tc>
                <w:tcPr>
                  <w:tcW w:w="591" w:type="pct"/>
                  <w:tcBorders>
                    <w:tl2br w:val="nil"/>
                    <w:tr2bl w:val="nil"/>
                  </w:tcBorders>
                  <w:vAlign w:val="center"/>
                </w:tcPr>
                <w:p w14:paraId="4B9EB4E9">
                  <w:pPr>
                    <w:pStyle w:val="51"/>
                    <w:rPr>
                      <w:color w:val="auto"/>
                    </w:rPr>
                  </w:pPr>
                  <w:r>
                    <w:rPr>
                      <w:color w:val="auto"/>
                    </w:rPr>
                    <w:t>16</w:t>
                  </w:r>
                </w:p>
              </w:tc>
              <w:tc>
                <w:tcPr>
                  <w:tcW w:w="591" w:type="pct"/>
                  <w:tcBorders>
                    <w:tl2br w:val="nil"/>
                    <w:tr2bl w:val="nil"/>
                  </w:tcBorders>
                  <w:vAlign w:val="center"/>
                </w:tcPr>
                <w:p w14:paraId="6F16E494">
                  <w:pPr>
                    <w:pStyle w:val="51"/>
                    <w:rPr>
                      <w:color w:val="auto"/>
                    </w:rPr>
                  </w:pPr>
                  <w:r>
                    <w:rPr>
                      <w:color w:val="auto"/>
                    </w:rPr>
                    <w:t>0.958</w:t>
                  </w:r>
                </w:p>
              </w:tc>
              <w:tc>
                <w:tcPr>
                  <w:tcW w:w="591" w:type="pct"/>
                  <w:tcBorders>
                    <w:tl2br w:val="nil"/>
                    <w:tr2bl w:val="nil"/>
                  </w:tcBorders>
                  <w:vAlign w:val="center"/>
                </w:tcPr>
                <w:p w14:paraId="24F0E5A3">
                  <w:pPr>
                    <w:pStyle w:val="51"/>
                    <w:rPr>
                      <w:color w:val="auto"/>
                    </w:rPr>
                  </w:pPr>
                  <w:r>
                    <w:rPr>
                      <w:color w:val="auto"/>
                    </w:rPr>
                    <w:t>0.20</w:t>
                  </w:r>
                </w:p>
              </w:tc>
              <w:tc>
                <w:tcPr>
                  <w:tcW w:w="593" w:type="pct"/>
                  <w:tcBorders>
                    <w:tl2br w:val="nil"/>
                    <w:tr2bl w:val="nil"/>
                  </w:tcBorders>
                  <w:vAlign w:val="center"/>
                </w:tcPr>
                <w:p w14:paraId="6D9893DB">
                  <w:pPr>
                    <w:pStyle w:val="51"/>
                    <w:rPr>
                      <w:color w:val="auto"/>
                    </w:rPr>
                  </w:pPr>
                  <w:r>
                    <w:rPr>
                      <w:color w:val="auto"/>
                    </w:rPr>
                    <w:t>1.25</w:t>
                  </w:r>
                </w:p>
              </w:tc>
            </w:tr>
          </w:tbl>
          <w:p w14:paraId="28E609A6">
            <w:pPr>
              <w:pStyle w:val="47"/>
              <w:ind w:firstLine="480"/>
              <w:rPr>
                <w:color w:val="auto"/>
              </w:rPr>
            </w:pPr>
            <w:r>
              <w:rPr>
                <w:color w:val="auto"/>
              </w:rPr>
              <w:t>监测数据结果表明，</w:t>
            </w:r>
            <w:r>
              <w:rPr>
                <w:rFonts w:hint="eastAsia"/>
                <w:color w:val="auto"/>
              </w:rPr>
              <w:t>项目所在区域内河水水质尚不能完全达到《地表水环境质量标准》（GB3838-2002）中的</w:t>
            </w:r>
            <w:r>
              <w:rPr>
                <w:color w:val="auto"/>
              </w:rPr>
              <w:t>Ⅲ</w:t>
            </w:r>
            <w:r>
              <w:rPr>
                <w:rFonts w:hint="eastAsia"/>
                <w:color w:val="auto"/>
              </w:rPr>
              <w:t>类标准要求，具体表现在COD、TP有不同程度的超</w:t>
            </w:r>
            <w:r>
              <w:rPr>
                <w:color w:val="auto"/>
              </w:rPr>
              <w:t>标。主要超标原因为区内及周边部分企业生活污水由企业自建污水处理设施处理后直排入外环境，尚未接入管网。此外，上游片区大多为村庄，仍有部分生活污水尚未接管，且农业面源较多，上游河道水质也一定程度上影响了区内水质。</w:t>
            </w:r>
            <w:r>
              <w:rPr>
                <w:rFonts w:hint="eastAsia"/>
                <w:color w:val="auto"/>
              </w:rPr>
              <w:t>通过园区规划实施，变规划区内无序开发为有序开发，通过优化河道管护、加大农业面源污染治理、完成污水管网及基础设施建设，减少污水直接外排量，黄码河水质</w:t>
            </w:r>
            <w:r>
              <w:rPr>
                <w:color w:val="auto"/>
              </w:rPr>
              <w:t>状况可以得到有效的改善。</w:t>
            </w:r>
          </w:p>
          <w:p w14:paraId="3FA0340B">
            <w:pPr>
              <w:pStyle w:val="47"/>
              <w:ind w:firstLine="482"/>
              <w:rPr>
                <w:b/>
                <w:bCs/>
                <w:color w:val="auto"/>
              </w:rPr>
            </w:pPr>
            <w:r>
              <w:rPr>
                <w:b/>
                <w:bCs/>
                <w:color w:val="auto"/>
              </w:rPr>
              <w:t>3、声环境质量</w:t>
            </w:r>
          </w:p>
          <w:p w14:paraId="05527D65">
            <w:pPr>
              <w:pStyle w:val="47"/>
              <w:ind w:firstLine="480"/>
              <w:rPr>
                <w:color w:val="auto"/>
              </w:rPr>
            </w:pPr>
            <w:r>
              <w:rPr>
                <w:color w:val="auto"/>
              </w:rPr>
              <w:t>根据《泗阳县2023年度环境质量公报》可知，泗阳县功能区噪声平均等效声级范围为41.2~64.3dB(A)，依据《声环境质量标准》（GB3096-2018）评价本年度年平均等效声级符合相应功能区环境噪声限值，无超标现象。根据《建设项目环境影响报告表编制技术指南（污染影响类）（试行）》，本项目厂界外周边50米范围内没有声环境敏感目标，无需进行调查。</w:t>
            </w:r>
          </w:p>
          <w:p w14:paraId="255D40EC">
            <w:pPr>
              <w:pStyle w:val="47"/>
              <w:ind w:firstLine="480"/>
              <w:rPr>
                <w:color w:val="auto"/>
              </w:rPr>
            </w:pPr>
            <w:r>
              <w:rPr>
                <w:color w:val="auto"/>
              </w:rPr>
              <w:t>本项目运营过程中会产生一定的废气、废水、噪声等污染物，采取相应的污染防治措施后，各类污染物均能达标排放，对周围环境影响较小，不会降低当地环境质量功能。</w:t>
            </w:r>
          </w:p>
          <w:p w14:paraId="630F831E">
            <w:pPr>
              <w:pStyle w:val="47"/>
              <w:ind w:firstLine="482"/>
              <w:rPr>
                <w:b/>
                <w:bCs/>
                <w:color w:val="auto"/>
              </w:rPr>
            </w:pPr>
            <w:r>
              <w:rPr>
                <w:b/>
                <w:bCs/>
                <w:color w:val="auto"/>
              </w:rPr>
              <w:t>4、生态环境质量</w:t>
            </w:r>
          </w:p>
          <w:p w14:paraId="704FC788">
            <w:pPr>
              <w:pStyle w:val="47"/>
              <w:ind w:firstLine="480"/>
              <w:rPr>
                <w:color w:val="auto"/>
              </w:rPr>
            </w:pPr>
            <w:r>
              <w:rPr>
                <w:color w:val="auto"/>
              </w:rPr>
              <w:t>本项目选址不属于园区外建设项目新增用地，且用地范围内不含生态环境保护目标，无需开展生态环境现状调查。</w:t>
            </w:r>
          </w:p>
          <w:p w14:paraId="4F096453">
            <w:pPr>
              <w:pStyle w:val="47"/>
              <w:ind w:firstLine="482"/>
              <w:rPr>
                <w:b/>
                <w:bCs/>
                <w:color w:val="auto"/>
              </w:rPr>
            </w:pPr>
            <w:r>
              <w:rPr>
                <w:b/>
                <w:bCs/>
                <w:color w:val="auto"/>
              </w:rPr>
              <w:t>5、电磁辐射</w:t>
            </w:r>
          </w:p>
          <w:p w14:paraId="4B52354E">
            <w:pPr>
              <w:pStyle w:val="47"/>
              <w:ind w:firstLine="480"/>
              <w:rPr>
                <w:color w:val="auto"/>
              </w:rPr>
            </w:pPr>
            <w:r>
              <w:rPr>
                <w:color w:val="auto"/>
              </w:rPr>
              <w:t>本项目不涉及电磁辐射。</w:t>
            </w:r>
          </w:p>
          <w:p w14:paraId="08ED1934">
            <w:pPr>
              <w:pStyle w:val="47"/>
              <w:ind w:firstLine="482"/>
              <w:rPr>
                <w:b/>
                <w:bCs/>
                <w:color w:val="auto"/>
              </w:rPr>
            </w:pPr>
            <w:r>
              <w:rPr>
                <w:b/>
                <w:bCs/>
                <w:color w:val="auto"/>
              </w:rPr>
              <w:t>6、地下水、土壤环境</w:t>
            </w:r>
          </w:p>
          <w:p w14:paraId="77342DCC">
            <w:pPr>
              <w:pStyle w:val="47"/>
              <w:ind w:firstLine="480"/>
              <w:rPr>
                <w:color w:val="auto"/>
              </w:rPr>
            </w:pPr>
            <w:r>
              <w:rPr>
                <w:color w:val="auto"/>
              </w:rPr>
              <w:t>本项目厂区做好地面硬化，并按照分区防控要求落实分区防渗等措施，正常运行时不存在土壤和地下水环境污染途径，可不开展地下水和土壤环境现状调查。</w:t>
            </w:r>
          </w:p>
        </w:tc>
      </w:tr>
      <w:tr w14:paraId="438831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590EEA64">
            <w:pPr>
              <w:jc w:val="center"/>
              <w:rPr>
                <w:color w:val="auto"/>
                <w:sz w:val="24"/>
              </w:rPr>
            </w:pPr>
            <w:r>
              <w:rPr>
                <w:color w:val="auto"/>
                <w:sz w:val="24"/>
              </w:rPr>
              <w:t>环境</w:t>
            </w:r>
          </w:p>
          <w:p w14:paraId="28E1416F">
            <w:pPr>
              <w:jc w:val="center"/>
              <w:rPr>
                <w:color w:val="auto"/>
                <w:sz w:val="24"/>
              </w:rPr>
            </w:pPr>
            <w:r>
              <w:rPr>
                <w:color w:val="auto"/>
                <w:sz w:val="24"/>
              </w:rPr>
              <w:t>保护</w:t>
            </w:r>
          </w:p>
          <w:p w14:paraId="487A21AD">
            <w:pPr>
              <w:jc w:val="center"/>
              <w:rPr>
                <w:color w:val="auto"/>
                <w:sz w:val="24"/>
              </w:rPr>
            </w:pPr>
            <w:r>
              <w:rPr>
                <w:color w:val="auto"/>
                <w:sz w:val="24"/>
              </w:rPr>
              <w:t>目标</w:t>
            </w:r>
          </w:p>
        </w:tc>
        <w:tc>
          <w:tcPr>
            <w:tcW w:w="8659" w:type="dxa"/>
          </w:tcPr>
          <w:p w14:paraId="649BEA73">
            <w:pPr>
              <w:pStyle w:val="47"/>
              <w:ind w:firstLine="480"/>
              <w:rPr>
                <w:color w:val="auto"/>
              </w:rPr>
            </w:pPr>
            <w:r>
              <w:rPr>
                <w:color w:val="auto"/>
              </w:rPr>
              <w:t>本项目位于泗阳县新袁镇广州路28号，项目厂界500m范围内环境保护目标详见</w:t>
            </w:r>
            <w:r>
              <w:rPr>
                <w:color w:val="auto"/>
              </w:rPr>
              <w:fldChar w:fldCharType="begin"/>
            </w:r>
            <w:r>
              <w:rPr>
                <w:color w:val="auto"/>
              </w:rPr>
              <w:instrText xml:space="preserve"> REF _Ref1804 \h </w:instrText>
            </w:r>
            <w:r>
              <w:rPr>
                <w:color w:val="auto"/>
              </w:rPr>
              <w:fldChar w:fldCharType="separate"/>
            </w:r>
            <w:r>
              <w:rPr>
                <w:color w:val="auto"/>
              </w:rPr>
              <w:t>表3- 2</w:t>
            </w:r>
            <w:r>
              <w:rPr>
                <w:color w:val="auto"/>
              </w:rPr>
              <w:fldChar w:fldCharType="end"/>
            </w:r>
            <w:r>
              <w:rPr>
                <w:color w:val="auto"/>
              </w:rPr>
              <w:t>。</w:t>
            </w:r>
          </w:p>
          <w:p w14:paraId="126DBCD1">
            <w:pPr>
              <w:pStyle w:val="7"/>
              <w:rPr>
                <w:color w:val="auto"/>
              </w:rPr>
            </w:pPr>
            <w:bookmarkStart w:id="39" w:name="_Ref1804"/>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2</w:t>
            </w:r>
            <w:r>
              <w:rPr>
                <w:color w:val="auto"/>
              </w:rPr>
              <w:fldChar w:fldCharType="end"/>
            </w:r>
            <w:bookmarkEnd w:id="39"/>
            <w:r>
              <w:rPr>
                <w:color w:val="auto"/>
              </w:rPr>
              <w:t xml:space="preserve"> 项目周边环境保护目标一览表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335"/>
              <w:gridCol w:w="960"/>
              <w:gridCol w:w="907"/>
              <w:gridCol w:w="442"/>
              <w:gridCol w:w="899"/>
              <w:gridCol w:w="821"/>
              <w:gridCol w:w="2166"/>
            </w:tblGrid>
            <w:tr w14:paraId="5D2F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535" w:type="pct"/>
                  <w:vMerge w:val="restart"/>
                  <w:tcBorders>
                    <w:tl2br w:val="nil"/>
                    <w:tr2bl w:val="nil"/>
                  </w:tcBorders>
                  <w:vAlign w:val="center"/>
                </w:tcPr>
                <w:p w14:paraId="0BC82413">
                  <w:pPr>
                    <w:pStyle w:val="49"/>
                    <w:rPr>
                      <w:color w:val="auto"/>
                    </w:rPr>
                  </w:pPr>
                  <w:r>
                    <w:rPr>
                      <w:color w:val="auto"/>
                    </w:rPr>
                    <w:t>环境</w:t>
                  </w:r>
                </w:p>
                <w:p w14:paraId="750DBB0C">
                  <w:pPr>
                    <w:pStyle w:val="49"/>
                    <w:rPr>
                      <w:color w:val="auto"/>
                    </w:rPr>
                  </w:pPr>
                  <w:r>
                    <w:rPr>
                      <w:color w:val="auto"/>
                    </w:rPr>
                    <w:t>要素</w:t>
                  </w:r>
                </w:p>
              </w:tc>
              <w:tc>
                <w:tcPr>
                  <w:tcW w:w="791" w:type="pct"/>
                  <w:vMerge w:val="restart"/>
                  <w:tcBorders>
                    <w:tl2br w:val="nil"/>
                    <w:tr2bl w:val="nil"/>
                  </w:tcBorders>
                  <w:vAlign w:val="center"/>
                </w:tcPr>
                <w:p w14:paraId="4C5140D7">
                  <w:pPr>
                    <w:pStyle w:val="49"/>
                    <w:rPr>
                      <w:color w:val="auto"/>
                    </w:rPr>
                  </w:pPr>
                  <w:r>
                    <w:rPr>
                      <w:color w:val="auto"/>
                    </w:rPr>
                    <w:t>环境保护对象名称</w:t>
                  </w:r>
                </w:p>
              </w:tc>
              <w:tc>
                <w:tcPr>
                  <w:tcW w:w="1107" w:type="pct"/>
                  <w:gridSpan w:val="2"/>
                  <w:tcBorders>
                    <w:tl2br w:val="nil"/>
                    <w:tr2bl w:val="nil"/>
                  </w:tcBorders>
                  <w:vAlign w:val="center"/>
                </w:tcPr>
                <w:p w14:paraId="5D0C29E3">
                  <w:pPr>
                    <w:pStyle w:val="49"/>
                    <w:rPr>
                      <w:color w:val="auto"/>
                    </w:rPr>
                  </w:pPr>
                  <w:r>
                    <w:rPr>
                      <w:color w:val="auto"/>
                    </w:rPr>
                    <w:t>坐标</w:t>
                  </w:r>
                </w:p>
              </w:tc>
              <w:tc>
                <w:tcPr>
                  <w:tcW w:w="262" w:type="pct"/>
                  <w:vMerge w:val="restart"/>
                  <w:tcBorders>
                    <w:tl2br w:val="nil"/>
                    <w:tr2bl w:val="nil"/>
                  </w:tcBorders>
                  <w:vAlign w:val="center"/>
                </w:tcPr>
                <w:p w14:paraId="5DD01761">
                  <w:pPr>
                    <w:pStyle w:val="49"/>
                    <w:rPr>
                      <w:color w:val="auto"/>
                    </w:rPr>
                  </w:pPr>
                  <w:r>
                    <w:rPr>
                      <w:color w:val="auto"/>
                    </w:rPr>
                    <w:t>方位</w:t>
                  </w:r>
                </w:p>
              </w:tc>
              <w:tc>
                <w:tcPr>
                  <w:tcW w:w="533" w:type="pct"/>
                  <w:vMerge w:val="restart"/>
                  <w:tcBorders>
                    <w:tl2br w:val="nil"/>
                    <w:tr2bl w:val="nil"/>
                  </w:tcBorders>
                  <w:vAlign w:val="center"/>
                </w:tcPr>
                <w:p w14:paraId="136681F0">
                  <w:pPr>
                    <w:pStyle w:val="49"/>
                    <w:rPr>
                      <w:color w:val="auto"/>
                    </w:rPr>
                  </w:pPr>
                  <w:r>
                    <w:rPr>
                      <w:color w:val="auto"/>
                    </w:rPr>
                    <w:t>距离厂界（m）</w:t>
                  </w:r>
                </w:p>
              </w:tc>
              <w:tc>
                <w:tcPr>
                  <w:tcW w:w="487" w:type="pct"/>
                  <w:vMerge w:val="restart"/>
                  <w:tcBorders>
                    <w:tl2br w:val="nil"/>
                    <w:tr2bl w:val="nil"/>
                  </w:tcBorders>
                  <w:vAlign w:val="center"/>
                </w:tcPr>
                <w:p w14:paraId="65564266">
                  <w:pPr>
                    <w:pStyle w:val="49"/>
                    <w:rPr>
                      <w:color w:val="auto"/>
                    </w:rPr>
                  </w:pPr>
                  <w:r>
                    <w:rPr>
                      <w:color w:val="auto"/>
                    </w:rPr>
                    <w:t>规模（人）</w:t>
                  </w:r>
                </w:p>
              </w:tc>
              <w:tc>
                <w:tcPr>
                  <w:tcW w:w="1280" w:type="pct"/>
                  <w:vMerge w:val="restart"/>
                  <w:tcBorders>
                    <w:tl2br w:val="nil"/>
                    <w:tr2bl w:val="nil"/>
                  </w:tcBorders>
                  <w:vAlign w:val="center"/>
                </w:tcPr>
                <w:p w14:paraId="66FF6409">
                  <w:pPr>
                    <w:pStyle w:val="49"/>
                    <w:rPr>
                      <w:color w:val="auto"/>
                    </w:rPr>
                  </w:pPr>
                  <w:r>
                    <w:rPr>
                      <w:color w:val="auto"/>
                    </w:rPr>
                    <w:t>环境功能</w:t>
                  </w:r>
                </w:p>
              </w:tc>
            </w:tr>
            <w:tr w14:paraId="73A4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535" w:type="pct"/>
                  <w:vMerge w:val="continue"/>
                  <w:tcBorders>
                    <w:tl2br w:val="nil"/>
                    <w:tr2bl w:val="nil"/>
                  </w:tcBorders>
                  <w:vAlign w:val="center"/>
                </w:tcPr>
                <w:p w14:paraId="29DCFD98">
                  <w:pPr>
                    <w:pStyle w:val="49"/>
                    <w:rPr>
                      <w:color w:val="auto"/>
                    </w:rPr>
                  </w:pPr>
                </w:p>
              </w:tc>
              <w:tc>
                <w:tcPr>
                  <w:tcW w:w="791" w:type="pct"/>
                  <w:vMerge w:val="continue"/>
                  <w:tcBorders>
                    <w:tl2br w:val="nil"/>
                    <w:tr2bl w:val="nil"/>
                  </w:tcBorders>
                  <w:vAlign w:val="center"/>
                </w:tcPr>
                <w:p w14:paraId="38541D98">
                  <w:pPr>
                    <w:pStyle w:val="49"/>
                    <w:rPr>
                      <w:color w:val="auto"/>
                    </w:rPr>
                  </w:pPr>
                </w:p>
              </w:tc>
              <w:tc>
                <w:tcPr>
                  <w:tcW w:w="569" w:type="pct"/>
                  <w:tcBorders>
                    <w:tl2br w:val="nil"/>
                    <w:tr2bl w:val="nil"/>
                  </w:tcBorders>
                  <w:vAlign w:val="center"/>
                </w:tcPr>
                <w:p w14:paraId="3B592493">
                  <w:pPr>
                    <w:pStyle w:val="49"/>
                    <w:rPr>
                      <w:color w:val="auto"/>
                    </w:rPr>
                  </w:pPr>
                  <w:r>
                    <w:rPr>
                      <w:color w:val="auto"/>
                    </w:rPr>
                    <w:t>经度</w:t>
                  </w:r>
                </w:p>
              </w:tc>
              <w:tc>
                <w:tcPr>
                  <w:tcW w:w="538" w:type="pct"/>
                  <w:tcBorders>
                    <w:tl2br w:val="nil"/>
                    <w:tr2bl w:val="nil"/>
                  </w:tcBorders>
                  <w:vAlign w:val="center"/>
                </w:tcPr>
                <w:p w14:paraId="71820DD1">
                  <w:pPr>
                    <w:pStyle w:val="49"/>
                    <w:rPr>
                      <w:color w:val="auto"/>
                    </w:rPr>
                  </w:pPr>
                  <w:r>
                    <w:rPr>
                      <w:color w:val="auto"/>
                    </w:rPr>
                    <w:t>纬度</w:t>
                  </w:r>
                </w:p>
              </w:tc>
              <w:tc>
                <w:tcPr>
                  <w:tcW w:w="262" w:type="pct"/>
                  <w:vMerge w:val="continue"/>
                  <w:tcBorders>
                    <w:tl2br w:val="nil"/>
                    <w:tr2bl w:val="nil"/>
                  </w:tcBorders>
                  <w:vAlign w:val="center"/>
                </w:tcPr>
                <w:p w14:paraId="13CC6D0D">
                  <w:pPr>
                    <w:pStyle w:val="49"/>
                    <w:rPr>
                      <w:color w:val="auto"/>
                    </w:rPr>
                  </w:pPr>
                </w:p>
              </w:tc>
              <w:tc>
                <w:tcPr>
                  <w:tcW w:w="533" w:type="pct"/>
                  <w:vMerge w:val="continue"/>
                  <w:tcBorders>
                    <w:tl2br w:val="nil"/>
                    <w:tr2bl w:val="nil"/>
                  </w:tcBorders>
                  <w:vAlign w:val="center"/>
                </w:tcPr>
                <w:p w14:paraId="753E625A">
                  <w:pPr>
                    <w:pStyle w:val="49"/>
                    <w:rPr>
                      <w:color w:val="auto"/>
                    </w:rPr>
                  </w:pPr>
                </w:p>
              </w:tc>
              <w:tc>
                <w:tcPr>
                  <w:tcW w:w="487" w:type="pct"/>
                  <w:vMerge w:val="continue"/>
                  <w:tcBorders>
                    <w:tl2br w:val="nil"/>
                    <w:tr2bl w:val="nil"/>
                  </w:tcBorders>
                  <w:vAlign w:val="center"/>
                </w:tcPr>
                <w:p w14:paraId="10BCD7B1">
                  <w:pPr>
                    <w:pStyle w:val="49"/>
                    <w:rPr>
                      <w:color w:val="auto"/>
                    </w:rPr>
                  </w:pPr>
                </w:p>
              </w:tc>
              <w:tc>
                <w:tcPr>
                  <w:tcW w:w="1280" w:type="pct"/>
                  <w:vMerge w:val="continue"/>
                  <w:tcBorders>
                    <w:tl2br w:val="nil"/>
                    <w:tr2bl w:val="nil"/>
                  </w:tcBorders>
                  <w:vAlign w:val="center"/>
                </w:tcPr>
                <w:p w14:paraId="15FFB5C3">
                  <w:pPr>
                    <w:pStyle w:val="49"/>
                    <w:rPr>
                      <w:color w:val="auto"/>
                    </w:rPr>
                  </w:pPr>
                </w:p>
              </w:tc>
            </w:tr>
            <w:tr w14:paraId="3FF7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pct"/>
                  <w:vMerge w:val="restart"/>
                  <w:tcBorders>
                    <w:tl2br w:val="nil"/>
                    <w:tr2bl w:val="nil"/>
                  </w:tcBorders>
                  <w:vAlign w:val="center"/>
                </w:tcPr>
                <w:p w14:paraId="6A12BAA3">
                  <w:pPr>
                    <w:pStyle w:val="51"/>
                    <w:rPr>
                      <w:color w:val="auto"/>
                    </w:rPr>
                  </w:pPr>
                  <w:r>
                    <w:rPr>
                      <w:color w:val="auto"/>
                    </w:rPr>
                    <w:t>大气环境</w:t>
                  </w:r>
                </w:p>
              </w:tc>
              <w:tc>
                <w:tcPr>
                  <w:tcW w:w="791" w:type="pct"/>
                  <w:tcBorders>
                    <w:tl2br w:val="nil"/>
                    <w:tr2bl w:val="nil"/>
                  </w:tcBorders>
                  <w:vAlign w:val="center"/>
                </w:tcPr>
                <w:p w14:paraId="3B456B84">
                  <w:pPr>
                    <w:pStyle w:val="51"/>
                    <w:rPr>
                      <w:color w:val="auto"/>
                    </w:rPr>
                  </w:pPr>
                  <w:r>
                    <w:rPr>
                      <w:rFonts w:hint="eastAsia"/>
                      <w:color w:val="auto"/>
                    </w:rPr>
                    <w:t>新袁镇镇区</w:t>
                  </w:r>
                </w:p>
              </w:tc>
              <w:tc>
                <w:tcPr>
                  <w:tcW w:w="569" w:type="pct"/>
                  <w:tcBorders>
                    <w:tl2br w:val="nil"/>
                    <w:tr2bl w:val="nil"/>
                  </w:tcBorders>
                  <w:shd w:val="clear" w:color="auto" w:fill="auto"/>
                  <w:vAlign w:val="center"/>
                </w:tcPr>
                <w:p w14:paraId="53D7568A">
                  <w:pPr>
                    <w:pStyle w:val="51"/>
                    <w:rPr>
                      <w:color w:val="auto"/>
                    </w:rPr>
                  </w:pPr>
                  <w:r>
                    <w:rPr>
                      <w:color w:val="auto"/>
                    </w:rPr>
                    <w:t>118°45′</w:t>
                  </w:r>
                </w:p>
                <w:p w14:paraId="5434BAEB">
                  <w:pPr>
                    <w:pStyle w:val="51"/>
                    <w:rPr>
                      <w:color w:val="auto"/>
                    </w:rPr>
                  </w:pPr>
                  <w:r>
                    <w:rPr>
                      <w:color w:val="auto"/>
                    </w:rPr>
                    <w:t>13.68</w:t>
                  </w:r>
                  <w:r>
                    <w:rPr>
                      <w:rFonts w:hint="eastAsia"/>
                      <w:color w:val="auto"/>
                    </w:rPr>
                    <w:t>0</w:t>
                  </w:r>
                  <w:r>
                    <w:rPr>
                      <w:color w:val="auto"/>
                    </w:rPr>
                    <w:t>″</w:t>
                  </w:r>
                </w:p>
              </w:tc>
              <w:tc>
                <w:tcPr>
                  <w:tcW w:w="538" w:type="pct"/>
                  <w:tcBorders>
                    <w:tl2br w:val="nil"/>
                    <w:tr2bl w:val="nil"/>
                  </w:tcBorders>
                  <w:vAlign w:val="center"/>
                </w:tcPr>
                <w:p w14:paraId="42C8FCC4">
                  <w:pPr>
                    <w:pStyle w:val="51"/>
                    <w:rPr>
                      <w:color w:val="auto"/>
                    </w:rPr>
                  </w:pPr>
                  <w:r>
                    <w:rPr>
                      <w:color w:val="auto"/>
                    </w:rPr>
                    <w:t>33°33′</w:t>
                  </w:r>
                </w:p>
                <w:p w14:paraId="5E19F867">
                  <w:pPr>
                    <w:pStyle w:val="51"/>
                    <w:rPr>
                      <w:color w:val="auto"/>
                    </w:rPr>
                  </w:pPr>
                  <w:r>
                    <w:rPr>
                      <w:color w:val="auto"/>
                    </w:rPr>
                    <w:t>13.67</w:t>
                  </w:r>
                  <w:r>
                    <w:rPr>
                      <w:rFonts w:hint="eastAsia"/>
                      <w:color w:val="auto"/>
                    </w:rPr>
                    <w:t>8</w:t>
                  </w:r>
                  <w:r>
                    <w:rPr>
                      <w:color w:val="auto"/>
                    </w:rPr>
                    <w:t>″</w:t>
                  </w:r>
                </w:p>
              </w:tc>
              <w:tc>
                <w:tcPr>
                  <w:tcW w:w="262" w:type="pct"/>
                  <w:tcBorders>
                    <w:tl2br w:val="nil"/>
                    <w:tr2bl w:val="nil"/>
                  </w:tcBorders>
                  <w:vAlign w:val="center"/>
                </w:tcPr>
                <w:p w14:paraId="786B5D3A">
                  <w:pPr>
                    <w:pStyle w:val="51"/>
                    <w:rPr>
                      <w:color w:val="auto"/>
                    </w:rPr>
                  </w:pPr>
                  <w:r>
                    <w:rPr>
                      <w:rFonts w:hint="eastAsia"/>
                      <w:color w:val="auto"/>
                    </w:rPr>
                    <w:t>S</w:t>
                  </w:r>
                </w:p>
              </w:tc>
              <w:tc>
                <w:tcPr>
                  <w:tcW w:w="533" w:type="pct"/>
                  <w:tcBorders>
                    <w:tl2br w:val="nil"/>
                    <w:tr2bl w:val="nil"/>
                  </w:tcBorders>
                  <w:vAlign w:val="center"/>
                </w:tcPr>
                <w:p w14:paraId="7FEDE224">
                  <w:pPr>
                    <w:pStyle w:val="51"/>
                    <w:rPr>
                      <w:color w:val="auto"/>
                    </w:rPr>
                  </w:pPr>
                  <w:r>
                    <w:rPr>
                      <w:rFonts w:hint="eastAsia"/>
                      <w:color w:val="auto"/>
                    </w:rPr>
                    <w:t>290</w:t>
                  </w:r>
                </w:p>
              </w:tc>
              <w:tc>
                <w:tcPr>
                  <w:tcW w:w="487" w:type="pct"/>
                  <w:tcBorders>
                    <w:tl2br w:val="nil"/>
                    <w:tr2bl w:val="nil"/>
                  </w:tcBorders>
                  <w:vAlign w:val="center"/>
                </w:tcPr>
                <w:p w14:paraId="0D65F90C">
                  <w:pPr>
                    <w:pStyle w:val="51"/>
                    <w:rPr>
                      <w:color w:val="auto"/>
                    </w:rPr>
                  </w:pPr>
                  <w:r>
                    <w:rPr>
                      <w:rFonts w:hint="eastAsia"/>
                      <w:color w:val="auto"/>
                    </w:rPr>
                    <w:t>3500</w:t>
                  </w:r>
                </w:p>
              </w:tc>
              <w:tc>
                <w:tcPr>
                  <w:tcW w:w="1280" w:type="pct"/>
                  <w:vMerge w:val="restart"/>
                  <w:tcBorders>
                    <w:tl2br w:val="nil"/>
                    <w:tr2bl w:val="nil"/>
                  </w:tcBorders>
                  <w:vAlign w:val="center"/>
                </w:tcPr>
                <w:p w14:paraId="51C3840F">
                  <w:pPr>
                    <w:pStyle w:val="51"/>
                    <w:rPr>
                      <w:color w:val="auto"/>
                    </w:rPr>
                  </w:pPr>
                  <w:r>
                    <w:rPr>
                      <w:color w:val="auto"/>
                    </w:rPr>
                    <w:t>执行《环境空气质量标准》（GB3095-2012）二级标准</w:t>
                  </w:r>
                </w:p>
              </w:tc>
            </w:tr>
            <w:tr w14:paraId="69F5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pct"/>
                  <w:vMerge w:val="continue"/>
                  <w:tcBorders>
                    <w:tl2br w:val="nil"/>
                    <w:tr2bl w:val="nil"/>
                  </w:tcBorders>
                  <w:vAlign w:val="center"/>
                </w:tcPr>
                <w:p w14:paraId="3E09D27B">
                  <w:pPr>
                    <w:rPr>
                      <w:color w:val="auto"/>
                    </w:rPr>
                  </w:pPr>
                </w:p>
              </w:tc>
              <w:tc>
                <w:tcPr>
                  <w:tcW w:w="791" w:type="pct"/>
                  <w:tcBorders>
                    <w:tl2br w:val="nil"/>
                    <w:tr2bl w:val="nil"/>
                  </w:tcBorders>
                  <w:vAlign w:val="center"/>
                </w:tcPr>
                <w:p w14:paraId="7EA05F33">
                  <w:pPr>
                    <w:pStyle w:val="51"/>
                    <w:rPr>
                      <w:color w:val="auto"/>
                    </w:rPr>
                  </w:pPr>
                  <w:r>
                    <w:rPr>
                      <w:rFonts w:hint="eastAsia"/>
                      <w:color w:val="auto"/>
                    </w:rPr>
                    <w:t>陈码</w:t>
                  </w:r>
                </w:p>
              </w:tc>
              <w:tc>
                <w:tcPr>
                  <w:tcW w:w="569" w:type="pct"/>
                  <w:tcBorders>
                    <w:tl2br w:val="nil"/>
                    <w:tr2bl w:val="nil"/>
                  </w:tcBorders>
                  <w:vAlign w:val="center"/>
                </w:tcPr>
                <w:p w14:paraId="521B9CF0">
                  <w:pPr>
                    <w:pStyle w:val="51"/>
                    <w:rPr>
                      <w:color w:val="auto"/>
                    </w:rPr>
                  </w:pPr>
                  <w:r>
                    <w:rPr>
                      <w:color w:val="auto"/>
                    </w:rPr>
                    <w:t>118°45′</w:t>
                  </w:r>
                </w:p>
                <w:p w14:paraId="37764278">
                  <w:pPr>
                    <w:pStyle w:val="51"/>
                    <w:rPr>
                      <w:color w:val="auto"/>
                    </w:rPr>
                  </w:pPr>
                  <w:r>
                    <w:rPr>
                      <w:color w:val="auto"/>
                    </w:rPr>
                    <w:t>43.560″</w:t>
                  </w:r>
                </w:p>
              </w:tc>
              <w:tc>
                <w:tcPr>
                  <w:tcW w:w="538" w:type="pct"/>
                  <w:tcBorders>
                    <w:tl2br w:val="nil"/>
                    <w:tr2bl w:val="nil"/>
                  </w:tcBorders>
                  <w:vAlign w:val="center"/>
                </w:tcPr>
                <w:p w14:paraId="4BB630C5">
                  <w:pPr>
                    <w:pStyle w:val="51"/>
                    <w:rPr>
                      <w:color w:val="auto"/>
                    </w:rPr>
                  </w:pPr>
                  <w:r>
                    <w:rPr>
                      <w:color w:val="auto"/>
                    </w:rPr>
                    <w:t>33°33′</w:t>
                  </w:r>
                </w:p>
                <w:p w14:paraId="57E358D2">
                  <w:pPr>
                    <w:pStyle w:val="51"/>
                    <w:rPr>
                      <w:color w:val="auto"/>
                    </w:rPr>
                  </w:pPr>
                  <w:r>
                    <w:rPr>
                      <w:color w:val="auto"/>
                    </w:rPr>
                    <w:t>33.120″</w:t>
                  </w:r>
                </w:p>
              </w:tc>
              <w:tc>
                <w:tcPr>
                  <w:tcW w:w="262" w:type="pct"/>
                  <w:tcBorders>
                    <w:tl2br w:val="nil"/>
                    <w:tr2bl w:val="nil"/>
                  </w:tcBorders>
                  <w:vAlign w:val="center"/>
                </w:tcPr>
                <w:p w14:paraId="5EBBEC54">
                  <w:pPr>
                    <w:pStyle w:val="51"/>
                    <w:rPr>
                      <w:color w:val="auto"/>
                    </w:rPr>
                  </w:pPr>
                  <w:r>
                    <w:rPr>
                      <w:rFonts w:hint="eastAsia"/>
                      <w:color w:val="auto"/>
                    </w:rPr>
                    <w:t>EN</w:t>
                  </w:r>
                </w:p>
              </w:tc>
              <w:tc>
                <w:tcPr>
                  <w:tcW w:w="533" w:type="pct"/>
                  <w:tcBorders>
                    <w:tl2br w:val="nil"/>
                    <w:tr2bl w:val="nil"/>
                  </w:tcBorders>
                  <w:vAlign w:val="center"/>
                </w:tcPr>
                <w:p w14:paraId="39B55945">
                  <w:pPr>
                    <w:pStyle w:val="51"/>
                    <w:rPr>
                      <w:color w:val="auto"/>
                    </w:rPr>
                  </w:pPr>
                  <w:r>
                    <w:rPr>
                      <w:rFonts w:hint="eastAsia"/>
                      <w:color w:val="auto"/>
                    </w:rPr>
                    <w:t>300</w:t>
                  </w:r>
                </w:p>
              </w:tc>
              <w:tc>
                <w:tcPr>
                  <w:tcW w:w="487" w:type="pct"/>
                  <w:tcBorders>
                    <w:tl2br w:val="nil"/>
                    <w:tr2bl w:val="nil"/>
                  </w:tcBorders>
                  <w:vAlign w:val="center"/>
                </w:tcPr>
                <w:p w14:paraId="7BC8D46B">
                  <w:pPr>
                    <w:pStyle w:val="51"/>
                    <w:rPr>
                      <w:color w:val="auto"/>
                    </w:rPr>
                  </w:pPr>
                  <w:r>
                    <w:rPr>
                      <w:rFonts w:hint="eastAsia"/>
                      <w:color w:val="auto"/>
                    </w:rPr>
                    <w:t>300</w:t>
                  </w:r>
                </w:p>
              </w:tc>
              <w:tc>
                <w:tcPr>
                  <w:tcW w:w="1280" w:type="pct"/>
                  <w:vMerge w:val="continue"/>
                  <w:tcBorders>
                    <w:tl2br w:val="nil"/>
                    <w:tr2bl w:val="nil"/>
                  </w:tcBorders>
                  <w:vAlign w:val="center"/>
                </w:tcPr>
                <w:p w14:paraId="467C9C90">
                  <w:pPr>
                    <w:rPr>
                      <w:color w:val="auto"/>
                    </w:rPr>
                  </w:pPr>
                </w:p>
              </w:tc>
            </w:tr>
            <w:tr w14:paraId="0945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pct"/>
                  <w:tcBorders>
                    <w:tl2br w:val="nil"/>
                    <w:tr2bl w:val="nil"/>
                  </w:tcBorders>
                  <w:vAlign w:val="center"/>
                </w:tcPr>
                <w:p w14:paraId="555D2EE1">
                  <w:pPr>
                    <w:pStyle w:val="51"/>
                    <w:rPr>
                      <w:color w:val="auto"/>
                    </w:rPr>
                  </w:pPr>
                  <w:r>
                    <w:rPr>
                      <w:color w:val="auto"/>
                    </w:rPr>
                    <w:t>声环境</w:t>
                  </w:r>
                </w:p>
              </w:tc>
              <w:tc>
                <w:tcPr>
                  <w:tcW w:w="4464" w:type="pct"/>
                  <w:gridSpan w:val="7"/>
                  <w:tcBorders>
                    <w:tl2br w:val="nil"/>
                    <w:tr2bl w:val="nil"/>
                  </w:tcBorders>
                  <w:vAlign w:val="center"/>
                </w:tcPr>
                <w:p w14:paraId="01160721">
                  <w:pPr>
                    <w:pStyle w:val="51"/>
                    <w:rPr>
                      <w:color w:val="auto"/>
                    </w:rPr>
                  </w:pPr>
                  <w:r>
                    <w:rPr>
                      <w:color w:val="auto"/>
                    </w:rPr>
                    <w:t>厂界外50米范围内无声环境保护目标</w:t>
                  </w:r>
                </w:p>
              </w:tc>
            </w:tr>
            <w:tr w14:paraId="111A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pct"/>
                  <w:tcBorders>
                    <w:tl2br w:val="nil"/>
                    <w:tr2bl w:val="nil"/>
                  </w:tcBorders>
                  <w:vAlign w:val="center"/>
                </w:tcPr>
                <w:p w14:paraId="46F21EA8">
                  <w:pPr>
                    <w:pStyle w:val="51"/>
                    <w:rPr>
                      <w:color w:val="auto"/>
                    </w:rPr>
                  </w:pPr>
                  <w:r>
                    <w:rPr>
                      <w:color w:val="auto"/>
                    </w:rPr>
                    <w:t>地表水环境</w:t>
                  </w:r>
                </w:p>
              </w:tc>
              <w:tc>
                <w:tcPr>
                  <w:tcW w:w="791" w:type="pct"/>
                  <w:tcBorders>
                    <w:tl2br w:val="nil"/>
                    <w:tr2bl w:val="nil"/>
                  </w:tcBorders>
                  <w:vAlign w:val="center"/>
                </w:tcPr>
                <w:p w14:paraId="38FD32CC">
                  <w:pPr>
                    <w:pStyle w:val="51"/>
                    <w:rPr>
                      <w:color w:val="auto"/>
                    </w:rPr>
                  </w:pPr>
                  <w:r>
                    <w:rPr>
                      <w:rFonts w:hint="eastAsia"/>
                      <w:color w:val="auto"/>
                    </w:rPr>
                    <w:t>黄码河</w:t>
                  </w:r>
                </w:p>
              </w:tc>
              <w:tc>
                <w:tcPr>
                  <w:tcW w:w="569" w:type="pct"/>
                  <w:tcBorders>
                    <w:tl2br w:val="nil"/>
                    <w:tr2bl w:val="nil"/>
                  </w:tcBorders>
                  <w:vAlign w:val="center"/>
                </w:tcPr>
                <w:p w14:paraId="14EBA5DB">
                  <w:pPr>
                    <w:pStyle w:val="51"/>
                    <w:rPr>
                      <w:color w:val="auto"/>
                    </w:rPr>
                  </w:pPr>
                  <w:r>
                    <w:rPr>
                      <w:color w:val="auto"/>
                    </w:rPr>
                    <w:t>/</w:t>
                  </w:r>
                </w:p>
              </w:tc>
              <w:tc>
                <w:tcPr>
                  <w:tcW w:w="538" w:type="pct"/>
                  <w:tcBorders>
                    <w:tl2br w:val="nil"/>
                    <w:tr2bl w:val="nil"/>
                  </w:tcBorders>
                  <w:vAlign w:val="center"/>
                </w:tcPr>
                <w:p w14:paraId="1A916EE1">
                  <w:pPr>
                    <w:pStyle w:val="51"/>
                    <w:rPr>
                      <w:color w:val="auto"/>
                    </w:rPr>
                  </w:pPr>
                  <w:r>
                    <w:rPr>
                      <w:color w:val="auto"/>
                    </w:rPr>
                    <w:t>/</w:t>
                  </w:r>
                </w:p>
              </w:tc>
              <w:tc>
                <w:tcPr>
                  <w:tcW w:w="262" w:type="pct"/>
                  <w:tcBorders>
                    <w:tl2br w:val="nil"/>
                    <w:tr2bl w:val="nil"/>
                  </w:tcBorders>
                  <w:vAlign w:val="center"/>
                </w:tcPr>
                <w:p w14:paraId="22E890E4">
                  <w:pPr>
                    <w:pStyle w:val="51"/>
                    <w:rPr>
                      <w:color w:val="auto"/>
                    </w:rPr>
                  </w:pPr>
                  <w:r>
                    <w:rPr>
                      <w:color w:val="auto"/>
                    </w:rPr>
                    <w:t>W</w:t>
                  </w:r>
                </w:p>
              </w:tc>
              <w:tc>
                <w:tcPr>
                  <w:tcW w:w="533" w:type="pct"/>
                  <w:tcBorders>
                    <w:tl2br w:val="nil"/>
                    <w:tr2bl w:val="nil"/>
                  </w:tcBorders>
                  <w:vAlign w:val="center"/>
                </w:tcPr>
                <w:p w14:paraId="6952E360">
                  <w:pPr>
                    <w:pStyle w:val="51"/>
                    <w:rPr>
                      <w:color w:val="auto"/>
                    </w:rPr>
                  </w:pPr>
                  <w:r>
                    <w:rPr>
                      <w:rFonts w:hint="eastAsia"/>
                      <w:color w:val="auto"/>
                    </w:rPr>
                    <w:t>670</w:t>
                  </w:r>
                </w:p>
              </w:tc>
              <w:tc>
                <w:tcPr>
                  <w:tcW w:w="487" w:type="pct"/>
                  <w:tcBorders>
                    <w:tl2br w:val="nil"/>
                    <w:tr2bl w:val="nil"/>
                  </w:tcBorders>
                  <w:vAlign w:val="center"/>
                </w:tcPr>
                <w:p w14:paraId="5DD6B839">
                  <w:pPr>
                    <w:pStyle w:val="51"/>
                    <w:rPr>
                      <w:color w:val="auto"/>
                    </w:rPr>
                  </w:pPr>
                  <w:r>
                    <w:rPr>
                      <w:color w:val="auto"/>
                    </w:rPr>
                    <w:t>小河</w:t>
                  </w:r>
                </w:p>
              </w:tc>
              <w:tc>
                <w:tcPr>
                  <w:tcW w:w="1280" w:type="pct"/>
                  <w:tcBorders>
                    <w:tl2br w:val="nil"/>
                    <w:tr2bl w:val="nil"/>
                  </w:tcBorders>
                  <w:shd w:val="clear" w:color="auto" w:fill="auto"/>
                  <w:vAlign w:val="center"/>
                </w:tcPr>
                <w:p w14:paraId="1D56BB3D">
                  <w:pPr>
                    <w:pStyle w:val="51"/>
                    <w:rPr>
                      <w:color w:val="auto"/>
                    </w:rPr>
                  </w:pPr>
                  <w:r>
                    <w:rPr>
                      <w:color w:val="auto"/>
                    </w:rPr>
                    <w:t>《地表水环境质量标准》（GB3838-2002）</w:t>
                  </w:r>
                  <w:r>
                    <w:rPr>
                      <w:color w:val="auto"/>
                    </w:rPr>
                    <w:fldChar w:fldCharType="begin"/>
                  </w:r>
                  <w:r>
                    <w:rPr>
                      <w:color w:val="auto"/>
                    </w:rPr>
                    <w:instrText xml:space="preserve"> = 3 \* ROMAN </w:instrText>
                  </w:r>
                  <w:r>
                    <w:rPr>
                      <w:color w:val="auto"/>
                    </w:rPr>
                    <w:fldChar w:fldCharType="separate"/>
                  </w:r>
                  <w:r>
                    <w:rPr>
                      <w:color w:val="auto"/>
                    </w:rPr>
                    <w:t>III</w:t>
                  </w:r>
                  <w:r>
                    <w:rPr>
                      <w:color w:val="auto"/>
                    </w:rPr>
                    <w:fldChar w:fldCharType="end"/>
                  </w:r>
                  <w:r>
                    <w:rPr>
                      <w:color w:val="auto"/>
                    </w:rPr>
                    <w:t>类标准</w:t>
                  </w:r>
                </w:p>
              </w:tc>
            </w:tr>
            <w:tr w14:paraId="5F4B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35" w:type="pct"/>
                  <w:tcBorders>
                    <w:tl2br w:val="nil"/>
                    <w:tr2bl w:val="nil"/>
                  </w:tcBorders>
                  <w:vAlign w:val="center"/>
                </w:tcPr>
                <w:p w14:paraId="68D07333">
                  <w:pPr>
                    <w:pStyle w:val="51"/>
                    <w:rPr>
                      <w:color w:val="auto"/>
                    </w:rPr>
                  </w:pPr>
                  <w:r>
                    <w:rPr>
                      <w:color w:val="auto"/>
                    </w:rPr>
                    <w:t>地下水环境</w:t>
                  </w:r>
                </w:p>
              </w:tc>
              <w:tc>
                <w:tcPr>
                  <w:tcW w:w="4464" w:type="pct"/>
                  <w:gridSpan w:val="7"/>
                  <w:tcBorders>
                    <w:tl2br w:val="nil"/>
                    <w:tr2bl w:val="nil"/>
                  </w:tcBorders>
                  <w:vAlign w:val="center"/>
                </w:tcPr>
                <w:p w14:paraId="10F67E05">
                  <w:pPr>
                    <w:pStyle w:val="51"/>
                    <w:rPr>
                      <w:color w:val="auto"/>
                    </w:rPr>
                  </w:pPr>
                  <w:r>
                    <w:rPr>
                      <w:color w:val="auto"/>
                    </w:rPr>
                    <w:t>厂界外500米范围内无地下水集中式饮用水水源和热水、矿泉水、温泉等特殊地下水资源</w:t>
                  </w:r>
                </w:p>
              </w:tc>
            </w:tr>
            <w:tr w14:paraId="5CDD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pct"/>
                  <w:tcBorders>
                    <w:tl2br w:val="nil"/>
                    <w:tr2bl w:val="nil"/>
                  </w:tcBorders>
                  <w:vAlign w:val="center"/>
                </w:tcPr>
                <w:p w14:paraId="0627014B">
                  <w:pPr>
                    <w:pStyle w:val="51"/>
                    <w:rPr>
                      <w:color w:val="auto"/>
                    </w:rPr>
                  </w:pPr>
                  <w:r>
                    <w:rPr>
                      <w:color w:val="auto"/>
                    </w:rPr>
                    <w:t>生态</w:t>
                  </w:r>
                </w:p>
              </w:tc>
              <w:tc>
                <w:tcPr>
                  <w:tcW w:w="4464" w:type="pct"/>
                  <w:gridSpan w:val="7"/>
                  <w:tcBorders>
                    <w:tl2br w:val="nil"/>
                    <w:tr2bl w:val="nil"/>
                  </w:tcBorders>
                  <w:vAlign w:val="center"/>
                </w:tcPr>
                <w:p w14:paraId="54D3A092">
                  <w:pPr>
                    <w:pStyle w:val="51"/>
                    <w:rPr>
                      <w:color w:val="auto"/>
                    </w:rPr>
                  </w:pPr>
                  <w:r>
                    <w:rPr>
                      <w:color w:val="auto"/>
                    </w:rPr>
                    <w:t>项目不在江苏省生态空间管控区域范围内</w:t>
                  </w:r>
                </w:p>
              </w:tc>
            </w:tr>
          </w:tbl>
          <w:p w14:paraId="1AEF4DFE">
            <w:pPr>
              <w:tabs>
                <w:tab w:val="left" w:pos="2040"/>
              </w:tabs>
              <w:rPr>
                <w:color w:val="auto"/>
              </w:rPr>
            </w:pPr>
          </w:p>
        </w:tc>
      </w:tr>
      <w:tr w14:paraId="4C054E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65" w:type="dxa"/>
            <w:tcMar>
              <w:left w:w="28" w:type="dxa"/>
              <w:right w:w="28" w:type="dxa"/>
            </w:tcMar>
            <w:vAlign w:val="center"/>
          </w:tcPr>
          <w:p w14:paraId="2871CDEE">
            <w:pPr>
              <w:jc w:val="center"/>
              <w:rPr>
                <w:color w:val="auto"/>
                <w:sz w:val="24"/>
              </w:rPr>
            </w:pPr>
            <w:r>
              <w:rPr>
                <w:color w:val="auto"/>
                <w:sz w:val="24"/>
              </w:rPr>
              <w:t>污染</w:t>
            </w:r>
          </w:p>
          <w:p w14:paraId="0DC77A43">
            <w:pPr>
              <w:jc w:val="center"/>
              <w:rPr>
                <w:color w:val="auto"/>
                <w:sz w:val="24"/>
              </w:rPr>
            </w:pPr>
            <w:r>
              <w:rPr>
                <w:color w:val="auto"/>
                <w:sz w:val="24"/>
              </w:rPr>
              <w:t>物排</w:t>
            </w:r>
          </w:p>
          <w:p w14:paraId="53B371BB">
            <w:pPr>
              <w:jc w:val="center"/>
              <w:rPr>
                <w:color w:val="auto"/>
                <w:sz w:val="24"/>
              </w:rPr>
            </w:pPr>
            <w:r>
              <w:rPr>
                <w:color w:val="auto"/>
                <w:sz w:val="24"/>
              </w:rPr>
              <w:t>放控</w:t>
            </w:r>
          </w:p>
          <w:p w14:paraId="163D1F80">
            <w:pPr>
              <w:jc w:val="center"/>
              <w:rPr>
                <w:color w:val="auto"/>
                <w:sz w:val="24"/>
              </w:rPr>
            </w:pPr>
            <w:r>
              <w:rPr>
                <w:color w:val="auto"/>
                <w:sz w:val="24"/>
              </w:rPr>
              <w:t>制标</w:t>
            </w:r>
          </w:p>
          <w:p w14:paraId="7921DCA5">
            <w:pPr>
              <w:jc w:val="center"/>
              <w:rPr>
                <w:color w:val="auto"/>
                <w:sz w:val="24"/>
              </w:rPr>
            </w:pPr>
            <w:r>
              <w:rPr>
                <w:color w:val="auto"/>
                <w:sz w:val="24"/>
              </w:rPr>
              <w:t>准</w:t>
            </w:r>
          </w:p>
        </w:tc>
        <w:tc>
          <w:tcPr>
            <w:tcW w:w="8659" w:type="dxa"/>
            <w:vAlign w:val="center"/>
          </w:tcPr>
          <w:p w14:paraId="5BC3D460">
            <w:pPr>
              <w:pStyle w:val="47"/>
              <w:ind w:firstLine="482"/>
              <w:rPr>
                <w:b/>
                <w:bCs/>
                <w:color w:val="auto"/>
              </w:rPr>
            </w:pPr>
            <w:r>
              <w:rPr>
                <w:b/>
                <w:bCs/>
                <w:color w:val="auto"/>
              </w:rPr>
              <w:t>1、大气污染物排放标准</w:t>
            </w:r>
          </w:p>
          <w:p w14:paraId="3CDADE22">
            <w:pPr>
              <w:pStyle w:val="47"/>
              <w:ind w:firstLine="480"/>
              <w:rPr>
                <w:color w:val="auto"/>
              </w:rPr>
            </w:pPr>
            <w:r>
              <w:rPr>
                <w:rFonts w:hint="eastAsia"/>
                <w:color w:val="auto"/>
              </w:rPr>
              <w:t>本项目施工期扬尘执行《施工场地扬尘排放标准》（DB32/4437-2022），详见</w:t>
            </w:r>
            <w:r>
              <w:rPr>
                <w:rFonts w:hint="eastAsia"/>
                <w:color w:val="auto"/>
              </w:rPr>
              <w:fldChar w:fldCharType="begin"/>
            </w:r>
            <w:r>
              <w:rPr>
                <w:rFonts w:hint="eastAsia"/>
                <w:color w:val="auto"/>
              </w:rPr>
              <w:instrText xml:space="preserve"> REF _Ref24195 \h </w:instrText>
            </w:r>
            <w:r>
              <w:rPr>
                <w:rFonts w:hint="eastAsia"/>
                <w:color w:val="auto"/>
              </w:rPr>
              <w:fldChar w:fldCharType="separate"/>
            </w:r>
            <w:r>
              <w:rPr>
                <w:color w:val="auto"/>
              </w:rPr>
              <w:t>表3- 3</w:t>
            </w:r>
            <w:r>
              <w:rPr>
                <w:rFonts w:hint="eastAsia"/>
                <w:color w:val="auto"/>
              </w:rPr>
              <w:fldChar w:fldCharType="end"/>
            </w:r>
            <w:r>
              <w:rPr>
                <w:rFonts w:hint="eastAsia"/>
                <w:color w:val="auto"/>
              </w:rPr>
              <w:t>。</w:t>
            </w:r>
          </w:p>
          <w:p w14:paraId="568DB563">
            <w:pPr>
              <w:pStyle w:val="7"/>
              <w:rPr>
                <w:color w:val="auto"/>
              </w:rPr>
            </w:pPr>
            <w:bookmarkStart w:id="40" w:name="_Ref24195"/>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3</w:t>
            </w:r>
            <w:r>
              <w:rPr>
                <w:color w:val="auto"/>
              </w:rPr>
              <w:fldChar w:fldCharType="end"/>
            </w:r>
            <w:bookmarkEnd w:id="40"/>
            <w:r>
              <w:rPr>
                <w:rFonts w:hint="eastAsia"/>
                <w:color w:val="auto"/>
              </w:rPr>
              <w:t xml:space="preserve"> </w:t>
            </w:r>
            <w:r>
              <w:rPr>
                <w:color w:val="auto"/>
              </w:rPr>
              <w:t>施工场地扬尘排放标准</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2298"/>
              <w:gridCol w:w="4357"/>
            </w:tblGrid>
            <w:tr w14:paraId="550F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2" w:type="pct"/>
                  <w:tcBorders>
                    <w:top w:val="single" w:color="auto" w:sz="4" w:space="0"/>
                    <w:left w:val="single" w:color="auto" w:sz="4" w:space="0"/>
                  </w:tcBorders>
                  <w:vAlign w:val="center"/>
                </w:tcPr>
                <w:p w14:paraId="7011CBAC">
                  <w:pPr>
                    <w:pStyle w:val="49"/>
                    <w:rPr>
                      <w:color w:val="auto"/>
                    </w:rPr>
                  </w:pPr>
                  <w:r>
                    <w:rPr>
                      <w:color w:val="auto"/>
                    </w:rPr>
                    <w:t>污染物名称</w:t>
                  </w:r>
                </w:p>
              </w:tc>
              <w:tc>
                <w:tcPr>
                  <w:tcW w:w="1362" w:type="pct"/>
                  <w:tcBorders>
                    <w:top w:val="single" w:color="auto" w:sz="4" w:space="0"/>
                  </w:tcBorders>
                  <w:vAlign w:val="center"/>
                </w:tcPr>
                <w:p w14:paraId="22CDCD1C">
                  <w:pPr>
                    <w:pStyle w:val="49"/>
                    <w:rPr>
                      <w:color w:val="auto"/>
                    </w:rPr>
                  </w:pPr>
                  <w:r>
                    <w:rPr>
                      <w:color w:val="auto"/>
                    </w:rPr>
                    <w:t>浓度限值（μg/m</w:t>
                  </w:r>
                  <w:r>
                    <w:rPr>
                      <w:color w:val="auto"/>
                      <w:vertAlign w:val="superscript"/>
                    </w:rPr>
                    <w:t>3</w:t>
                  </w:r>
                  <w:r>
                    <w:rPr>
                      <w:color w:val="auto"/>
                    </w:rPr>
                    <w:t>）</w:t>
                  </w:r>
                </w:p>
              </w:tc>
              <w:tc>
                <w:tcPr>
                  <w:tcW w:w="2584" w:type="pct"/>
                  <w:tcBorders>
                    <w:top w:val="single" w:color="auto" w:sz="4" w:space="0"/>
                    <w:right w:val="single" w:color="auto" w:sz="4" w:space="0"/>
                  </w:tcBorders>
                  <w:vAlign w:val="center"/>
                </w:tcPr>
                <w:p w14:paraId="484C24A3">
                  <w:pPr>
                    <w:pStyle w:val="49"/>
                    <w:rPr>
                      <w:color w:val="auto"/>
                    </w:rPr>
                  </w:pPr>
                  <w:r>
                    <w:rPr>
                      <w:color w:val="auto"/>
                    </w:rPr>
                    <w:t>标准来源</w:t>
                  </w:r>
                </w:p>
              </w:tc>
            </w:tr>
            <w:tr w14:paraId="552D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2" w:type="pct"/>
                  <w:tcBorders>
                    <w:left w:val="single" w:color="auto" w:sz="4" w:space="0"/>
                  </w:tcBorders>
                  <w:vAlign w:val="center"/>
                </w:tcPr>
                <w:p w14:paraId="64EDA992">
                  <w:pPr>
                    <w:pStyle w:val="51"/>
                    <w:rPr>
                      <w:color w:val="auto"/>
                    </w:rPr>
                  </w:pPr>
                  <w:r>
                    <w:rPr>
                      <w:color w:val="auto"/>
                    </w:rPr>
                    <w:t>TSP</w:t>
                  </w:r>
                  <w:r>
                    <w:rPr>
                      <w:color w:val="auto"/>
                      <w:vertAlign w:val="superscript"/>
                    </w:rPr>
                    <w:t>a</w:t>
                  </w:r>
                </w:p>
              </w:tc>
              <w:tc>
                <w:tcPr>
                  <w:tcW w:w="1362" w:type="pct"/>
                  <w:vAlign w:val="center"/>
                </w:tcPr>
                <w:p w14:paraId="00DF2389">
                  <w:pPr>
                    <w:pStyle w:val="51"/>
                    <w:rPr>
                      <w:color w:val="auto"/>
                    </w:rPr>
                  </w:pPr>
                  <w:r>
                    <w:rPr>
                      <w:color w:val="auto"/>
                    </w:rPr>
                    <w:t>500</w:t>
                  </w:r>
                </w:p>
              </w:tc>
              <w:tc>
                <w:tcPr>
                  <w:tcW w:w="2584" w:type="pct"/>
                  <w:vMerge w:val="restart"/>
                  <w:tcBorders>
                    <w:right w:val="single" w:color="auto" w:sz="4" w:space="0"/>
                  </w:tcBorders>
                  <w:vAlign w:val="center"/>
                </w:tcPr>
                <w:p w14:paraId="75359A46">
                  <w:pPr>
                    <w:pStyle w:val="51"/>
                    <w:rPr>
                      <w:color w:val="auto"/>
                    </w:rPr>
                  </w:pPr>
                  <w:r>
                    <w:rPr>
                      <w:color w:val="auto"/>
                    </w:rPr>
                    <w:t>《施工场地扬尘排放标准》</w:t>
                  </w:r>
                  <w:r>
                    <w:rPr>
                      <w:rFonts w:hint="eastAsia"/>
                      <w:color w:val="auto"/>
                    </w:rPr>
                    <w:t>（DB32/4437-2022）</w:t>
                  </w:r>
                </w:p>
              </w:tc>
            </w:tr>
            <w:tr w14:paraId="7AF0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2" w:type="pct"/>
                  <w:tcBorders>
                    <w:left w:val="single" w:color="auto" w:sz="4" w:space="0"/>
                  </w:tcBorders>
                  <w:vAlign w:val="center"/>
                </w:tcPr>
                <w:p w14:paraId="3905275F">
                  <w:pPr>
                    <w:pStyle w:val="51"/>
                    <w:rPr>
                      <w:color w:val="auto"/>
                    </w:rPr>
                  </w:pPr>
                  <w:r>
                    <w:rPr>
                      <w:color w:val="auto"/>
                    </w:rPr>
                    <w:t>PM</w:t>
                  </w:r>
                  <w:r>
                    <w:rPr>
                      <w:color w:val="auto"/>
                      <w:vertAlign w:val="subscript"/>
                    </w:rPr>
                    <w:t>10</w:t>
                  </w:r>
                  <w:r>
                    <w:rPr>
                      <w:color w:val="auto"/>
                      <w:vertAlign w:val="superscript"/>
                    </w:rPr>
                    <w:t>b</w:t>
                  </w:r>
                </w:p>
              </w:tc>
              <w:tc>
                <w:tcPr>
                  <w:tcW w:w="1362" w:type="pct"/>
                  <w:vAlign w:val="center"/>
                </w:tcPr>
                <w:p w14:paraId="29E299D4">
                  <w:pPr>
                    <w:pStyle w:val="51"/>
                    <w:rPr>
                      <w:color w:val="auto"/>
                    </w:rPr>
                  </w:pPr>
                  <w:r>
                    <w:rPr>
                      <w:color w:val="auto"/>
                    </w:rPr>
                    <w:t>80</w:t>
                  </w:r>
                </w:p>
              </w:tc>
              <w:tc>
                <w:tcPr>
                  <w:tcW w:w="2584" w:type="pct"/>
                  <w:vMerge w:val="continue"/>
                  <w:tcBorders>
                    <w:right w:val="single" w:color="auto" w:sz="4" w:space="0"/>
                  </w:tcBorders>
                  <w:vAlign w:val="center"/>
                </w:tcPr>
                <w:p w14:paraId="21B1D3B9">
                  <w:pPr>
                    <w:pStyle w:val="51"/>
                    <w:rPr>
                      <w:color w:val="auto"/>
                    </w:rPr>
                  </w:pPr>
                </w:p>
              </w:tc>
            </w:tr>
            <w:tr w14:paraId="2D12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000" w:type="pct"/>
                  <w:gridSpan w:val="3"/>
                  <w:tcBorders>
                    <w:left w:val="single" w:color="auto" w:sz="4" w:space="0"/>
                    <w:bottom w:val="single" w:color="auto" w:sz="4" w:space="0"/>
                    <w:right w:val="single" w:color="auto" w:sz="4" w:space="0"/>
                  </w:tcBorders>
                  <w:vAlign w:val="center"/>
                </w:tcPr>
                <w:p w14:paraId="102094EB">
                  <w:pPr>
                    <w:pStyle w:val="51"/>
                    <w:ind w:left="420" w:hanging="420" w:hangingChars="200"/>
                    <w:jc w:val="both"/>
                    <w:rPr>
                      <w:color w:val="auto"/>
                    </w:rPr>
                  </w:pPr>
                  <w:r>
                    <w:rPr>
                      <w:rFonts w:hint="eastAsia"/>
                      <w:color w:val="auto"/>
                    </w:rPr>
                    <w:t>注：</w:t>
                  </w:r>
                  <w:r>
                    <w:rPr>
                      <w:color w:val="auto"/>
                    </w:rPr>
                    <w:t>a</w:t>
                  </w:r>
                  <w:r>
                    <w:rPr>
                      <w:rFonts w:hint="eastAsia"/>
                      <w:color w:val="auto"/>
                    </w:rPr>
                    <w:t xml:space="preserve"> </w:t>
                  </w:r>
                  <w:r>
                    <w:rPr>
                      <w:color w:val="auto"/>
                    </w:rPr>
                    <w:t>任一监控点</w:t>
                  </w:r>
                  <w:r>
                    <w:rPr>
                      <w:rFonts w:hint="eastAsia"/>
                      <w:color w:val="auto"/>
                    </w:rPr>
                    <w:t>（</w:t>
                  </w:r>
                  <w:r>
                    <w:rPr>
                      <w:color w:val="auto"/>
                    </w:rPr>
                    <w:t>TSP自动监测</w:t>
                  </w:r>
                  <w:r>
                    <w:rPr>
                      <w:rFonts w:hint="eastAsia"/>
                      <w:color w:val="auto"/>
                    </w:rPr>
                    <w:t>）</w:t>
                  </w:r>
                  <w:r>
                    <w:rPr>
                      <w:color w:val="auto"/>
                    </w:rPr>
                    <w:t>自整时起依次顺延15min的总悬浮颗粒物浓度平均值不应超过的限值。根据HJ 633判定设区市AQI在200~300之间且首要污染物为PM.</w:t>
                  </w:r>
                  <w:r>
                    <w:rPr>
                      <w:color w:val="auto"/>
                      <w:vertAlign w:val="subscript"/>
                    </w:rPr>
                    <w:t>10</w:t>
                  </w:r>
                  <w:r>
                    <w:rPr>
                      <w:color w:val="auto"/>
                    </w:rPr>
                    <w:t>或PM</w:t>
                  </w:r>
                  <w:r>
                    <w:rPr>
                      <w:color w:val="auto"/>
                      <w:vertAlign w:val="subscript"/>
                    </w:rPr>
                    <w:t>2.5</w:t>
                  </w:r>
                  <w:r>
                    <w:rPr>
                      <w:color w:val="auto"/>
                    </w:rPr>
                    <w:t>时，TSP实测值扣除200μg/m</w:t>
                  </w:r>
                  <w:r>
                    <w:rPr>
                      <w:color w:val="auto"/>
                      <w:vertAlign w:val="superscript"/>
                    </w:rPr>
                    <w:t>3</w:t>
                  </w:r>
                  <w:r>
                    <w:rPr>
                      <w:color w:val="auto"/>
                    </w:rPr>
                    <w:t>后再进行评价。</w:t>
                  </w:r>
                </w:p>
                <w:p w14:paraId="51A45B26">
                  <w:pPr>
                    <w:pStyle w:val="51"/>
                    <w:ind w:left="420" w:leftChars="200"/>
                    <w:jc w:val="both"/>
                    <w:rPr>
                      <w:color w:val="auto"/>
                    </w:rPr>
                  </w:pPr>
                  <w:r>
                    <w:rPr>
                      <w:color w:val="auto"/>
                    </w:rPr>
                    <w:t>B</w:t>
                  </w:r>
                  <w:r>
                    <w:rPr>
                      <w:rFonts w:hint="eastAsia"/>
                      <w:color w:val="auto"/>
                    </w:rPr>
                    <w:t xml:space="preserve"> </w:t>
                  </w:r>
                  <w:r>
                    <w:rPr>
                      <w:color w:val="auto"/>
                    </w:rPr>
                    <w:t>任一监控点</w:t>
                  </w:r>
                  <w:r>
                    <w:rPr>
                      <w:rFonts w:hint="eastAsia"/>
                      <w:color w:val="auto"/>
                    </w:rPr>
                    <w:t>（</w:t>
                  </w:r>
                  <w:r>
                    <w:rPr>
                      <w:color w:val="auto"/>
                    </w:rPr>
                    <w:t>PM</w:t>
                  </w:r>
                  <w:r>
                    <w:rPr>
                      <w:color w:val="auto"/>
                      <w:vertAlign w:val="subscript"/>
                    </w:rPr>
                    <w:t>10</w:t>
                  </w:r>
                  <w:r>
                    <w:rPr>
                      <w:color w:val="auto"/>
                    </w:rPr>
                    <w:t>自动监测</w:t>
                  </w:r>
                  <w:r>
                    <w:rPr>
                      <w:rFonts w:hint="eastAsia"/>
                      <w:color w:val="auto"/>
                    </w:rPr>
                    <w:t>）</w:t>
                  </w:r>
                  <w:r>
                    <w:rPr>
                      <w:color w:val="auto"/>
                    </w:rPr>
                    <w:t>自整时起依次顺延1h的PM</w:t>
                  </w:r>
                  <w:r>
                    <w:rPr>
                      <w:color w:val="auto"/>
                      <w:vertAlign w:val="subscript"/>
                    </w:rPr>
                    <w:t>10</w:t>
                  </w:r>
                  <w:r>
                    <w:rPr>
                      <w:color w:val="auto"/>
                    </w:rPr>
                    <w:t>浓度平均值与同时段所属设区市PM</w:t>
                  </w:r>
                  <w:r>
                    <w:rPr>
                      <w:color w:val="auto"/>
                      <w:vertAlign w:val="subscript"/>
                    </w:rPr>
                    <w:t>10</w:t>
                  </w:r>
                  <w:r>
                    <w:rPr>
                      <w:color w:val="auto"/>
                    </w:rPr>
                    <w:t>小时平均浓度的差值不应超过的限值。</w:t>
                  </w:r>
                </w:p>
              </w:tc>
            </w:tr>
          </w:tbl>
          <w:p w14:paraId="14706CEC">
            <w:pPr>
              <w:pStyle w:val="47"/>
              <w:ind w:firstLine="480"/>
              <w:rPr>
                <w:color w:val="auto"/>
              </w:rPr>
            </w:pPr>
            <w:r>
              <w:rPr>
                <w:rFonts w:hint="eastAsia"/>
                <w:color w:val="auto"/>
              </w:rPr>
              <w:t>本项目营运期加弹废气（NMHC）、危废仓库废气（NMHC）有组织排放执行《大气污染物综合排放标准》</w:t>
            </w:r>
            <w:r>
              <w:rPr>
                <w:color w:val="auto"/>
              </w:rPr>
              <w:t>（</w:t>
            </w:r>
            <w:r>
              <w:rPr>
                <w:rFonts w:hint="eastAsia"/>
                <w:color w:val="auto"/>
              </w:rPr>
              <w:t>DB32/4041-2021</w:t>
            </w:r>
            <w:r>
              <w:rPr>
                <w:color w:val="auto"/>
              </w:rPr>
              <w:t>）</w:t>
            </w:r>
            <w:r>
              <w:rPr>
                <w:rFonts w:hint="eastAsia"/>
                <w:color w:val="auto"/>
              </w:rPr>
              <w:t>表1 大气污染物有组织排放限值；</w:t>
            </w:r>
            <w:r>
              <w:rPr>
                <w:color w:val="auto"/>
              </w:rPr>
              <w:t>厂区内无组织排放执行</w:t>
            </w:r>
            <w:r>
              <w:rPr>
                <w:rFonts w:hint="eastAsia"/>
                <w:color w:val="auto"/>
              </w:rPr>
              <w:t>《大气污染物综合排放标准》</w:t>
            </w:r>
            <w:r>
              <w:rPr>
                <w:color w:val="auto"/>
              </w:rPr>
              <w:t>（</w:t>
            </w:r>
            <w:r>
              <w:rPr>
                <w:rFonts w:hint="eastAsia"/>
                <w:color w:val="auto"/>
              </w:rPr>
              <w:t>DB32/4041-2021</w:t>
            </w:r>
            <w:r>
              <w:rPr>
                <w:color w:val="auto"/>
              </w:rPr>
              <w:t>）</w:t>
            </w:r>
            <w:r>
              <w:rPr>
                <w:rFonts w:hint="eastAsia"/>
                <w:color w:val="auto"/>
              </w:rPr>
              <w:t>表2 厂区内VOCs无组织排放限值；厂界无组织排放执行《大气污染物综合排放标准》</w:t>
            </w:r>
            <w:r>
              <w:rPr>
                <w:color w:val="auto"/>
              </w:rPr>
              <w:t>（</w:t>
            </w:r>
            <w:r>
              <w:rPr>
                <w:rFonts w:hint="eastAsia"/>
                <w:color w:val="auto"/>
              </w:rPr>
              <w:t>DB32/4041-2021</w:t>
            </w:r>
            <w:r>
              <w:rPr>
                <w:color w:val="auto"/>
              </w:rPr>
              <w:t>）</w:t>
            </w:r>
            <w:r>
              <w:rPr>
                <w:rFonts w:hint="eastAsia"/>
                <w:color w:val="auto"/>
              </w:rPr>
              <w:t>表3 单位边界大气污染物排放监控浓度限值</w:t>
            </w:r>
            <w:r>
              <w:rPr>
                <w:color w:val="auto"/>
              </w:rPr>
              <w:t>。具体限值见</w:t>
            </w:r>
            <w:r>
              <w:rPr>
                <w:color w:val="auto"/>
              </w:rPr>
              <w:fldChar w:fldCharType="begin"/>
            </w:r>
            <w:r>
              <w:rPr>
                <w:color w:val="auto"/>
              </w:rPr>
              <w:instrText xml:space="preserve"> REF _Ref23783 \h </w:instrText>
            </w:r>
            <w:r>
              <w:rPr>
                <w:color w:val="auto"/>
              </w:rPr>
              <w:fldChar w:fldCharType="separate"/>
            </w:r>
            <w:r>
              <w:rPr>
                <w:color w:val="auto"/>
              </w:rPr>
              <w:t>表3- 4</w:t>
            </w:r>
            <w:r>
              <w:rPr>
                <w:color w:val="auto"/>
              </w:rPr>
              <w:fldChar w:fldCharType="end"/>
            </w:r>
            <w:r>
              <w:rPr>
                <w:color w:val="auto"/>
              </w:rPr>
              <w:t>。</w:t>
            </w:r>
          </w:p>
          <w:p w14:paraId="2B81AAA7">
            <w:pPr>
              <w:pStyle w:val="7"/>
              <w:rPr>
                <w:color w:val="auto"/>
              </w:rPr>
            </w:pPr>
            <w:bookmarkStart w:id="41" w:name="_Ref23783"/>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4</w:t>
            </w:r>
            <w:r>
              <w:rPr>
                <w:color w:val="auto"/>
              </w:rPr>
              <w:fldChar w:fldCharType="end"/>
            </w:r>
            <w:bookmarkEnd w:id="41"/>
            <w:r>
              <w:rPr>
                <w:color w:val="auto"/>
              </w:rPr>
              <w:t xml:space="preserve"> 大气污染物排放标准</w:t>
            </w:r>
          </w:p>
          <w:tbl>
            <w:tblPr>
              <w:tblStyle w:val="16"/>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960"/>
              <w:gridCol w:w="1612"/>
              <w:gridCol w:w="1470"/>
              <w:gridCol w:w="1576"/>
              <w:gridCol w:w="2068"/>
            </w:tblGrid>
            <w:tr w14:paraId="53B8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47" w:type="dxa"/>
                  <w:vAlign w:val="center"/>
                </w:tcPr>
                <w:p w14:paraId="24FD3ADB">
                  <w:pPr>
                    <w:pStyle w:val="49"/>
                    <w:rPr>
                      <w:color w:val="auto"/>
                    </w:rPr>
                  </w:pPr>
                  <w:r>
                    <w:rPr>
                      <w:color w:val="auto"/>
                    </w:rPr>
                    <w:t>排放</w:t>
                  </w:r>
                </w:p>
                <w:p w14:paraId="2A3762C4">
                  <w:pPr>
                    <w:pStyle w:val="49"/>
                    <w:rPr>
                      <w:color w:val="auto"/>
                    </w:rPr>
                  </w:pPr>
                  <w:r>
                    <w:rPr>
                      <w:color w:val="auto"/>
                    </w:rPr>
                    <w:t>类型</w:t>
                  </w:r>
                </w:p>
              </w:tc>
              <w:tc>
                <w:tcPr>
                  <w:tcW w:w="960" w:type="dxa"/>
                  <w:vAlign w:val="center"/>
                </w:tcPr>
                <w:p w14:paraId="523C4699">
                  <w:pPr>
                    <w:pStyle w:val="49"/>
                    <w:rPr>
                      <w:color w:val="auto"/>
                    </w:rPr>
                  </w:pPr>
                  <w:r>
                    <w:rPr>
                      <w:color w:val="auto"/>
                    </w:rPr>
                    <w:t>污染物</w:t>
                  </w:r>
                </w:p>
              </w:tc>
              <w:tc>
                <w:tcPr>
                  <w:tcW w:w="1612" w:type="dxa"/>
                  <w:vAlign w:val="center"/>
                </w:tcPr>
                <w:p w14:paraId="057D0E26">
                  <w:pPr>
                    <w:pStyle w:val="49"/>
                    <w:rPr>
                      <w:color w:val="auto"/>
                    </w:rPr>
                  </w:pPr>
                  <w:r>
                    <w:rPr>
                      <w:color w:val="auto"/>
                    </w:rPr>
                    <w:t>排放限值（mg/m</w:t>
                  </w:r>
                  <w:r>
                    <w:rPr>
                      <w:color w:val="auto"/>
                      <w:vertAlign w:val="superscript"/>
                    </w:rPr>
                    <w:t>3</w:t>
                  </w:r>
                  <w:r>
                    <w:rPr>
                      <w:color w:val="auto"/>
                    </w:rPr>
                    <w:t>）</w:t>
                  </w:r>
                </w:p>
              </w:tc>
              <w:tc>
                <w:tcPr>
                  <w:tcW w:w="1470" w:type="dxa"/>
                  <w:vAlign w:val="center"/>
                </w:tcPr>
                <w:p w14:paraId="3068A7D1">
                  <w:pPr>
                    <w:pStyle w:val="49"/>
                    <w:rPr>
                      <w:color w:val="auto"/>
                    </w:rPr>
                  </w:pPr>
                  <w:r>
                    <w:rPr>
                      <w:color w:val="auto"/>
                    </w:rPr>
                    <w:t>最高允许排放效率（kg/h）</w:t>
                  </w:r>
                </w:p>
              </w:tc>
              <w:tc>
                <w:tcPr>
                  <w:tcW w:w="1576" w:type="dxa"/>
                  <w:vAlign w:val="center"/>
                </w:tcPr>
                <w:p w14:paraId="58B18400">
                  <w:pPr>
                    <w:pStyle w:val="49"/>
                    <w:rPr>
                      <w:color w:val="auto"/>
                    </w:rPr>
                  </w:pPr>
                  <w:r>
                    <w:rPr>
                      <w:color w:val="auto"/>
                    </w:rPr>
                    <w:t>监控点</w:t>
                  </w:r>
                </w:p>
              </w:tc>
              <w:tc>
                <w:tcPr>
                  <w:tcW w:w="2068" w:type="dxa"/>
                  <w:vAlign w:val="center"/>
                </w:tcPr>
                <w:p w14:paraId="7CDF772D">
                  <w:pPr>
                    <w:pStyle w:val="49"/>
                    <w:rPr>
                      <w:color w:val="auto"/>
                    </w:rPr>
                  </w:pPr>
                  <w:r>
                    <w:rPr>
                      <w:color w:val="auto"/>
                    </w:rPr>
                    <w:t>执行标准</w:t>
                  </w:r>
                </w:p>
              </w:tc>
            </w:tr>
            <w:tr w14:paraId="3A7E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Align w:val="center"/>
                </w:tcPr>
                <w:p w14:paraId="3D01F83F">
                  <w:pPr>
                    <w:pStyle w:val="51"/>
                    <w:rPr>
                      <w:color w:val="auto"/>
                    </w:rPr>
                  </w:pPr>
                  <w:r>
                    <w:rPr>
                      <w:color w:val="auto"/>
                    </w:rPr>
                    <w:t>有组织</w:t>
                  </w:r>
                </w:p>
              </w:tc>
              <w:tc>
                <w:tcPr>
                  <w:tcW w:w="960" w:type="dxa"/>
                  <w:vAlign w:val="center"/>
                </w:tcPr>
                <w:p w14:paraId="02137816">
                  <w:pPr>
                    <w:pStyle w:val="51"/>
                    <w:rPr>
                      <w:color w:val="auto"/>
                    </w:rPr>
                  </w:pPr>
                  <w:r>
                    <w:rPr>
                      <w:rFonts w:hint="eastAsia"/>
                      <w:color w:val="auto"/>
                    </w:rPr>
                    <w:t>非甲烷总烃</w:t>
                  </w:r>
                </w:p>
              </w:tc>
              <w:tc>
                <w:tcPr>
                  <w:tcW w:w="1612" w:type="dxa"/>
                  <w:vAlign w:val="center"/>
                </w:tcPr>
                <w:p w14:paraId="0F736BD0">
                  <w:pPr>
                    <w:pStyle w:val="51"/>
                    <w:rPr>
                      <w:color w:val="auto"/>
                    </w:rPr>
                  </w:pPr>
                  <w:r>
                    <w:rPr>
                      <w:rFonts w:hint="eastAsia"/>
                      <w:color w:val="auto"/>
                    </w:rPr>
                    <w:t>60</w:t>
                  </w:r>
                </w:p>
              </w:tc>
              <w:tc>
                <w:tcPr>
                  <w:tcW w:w="1470" w:type="dxa"/>
                  <w:vAlign w:val="center"/>
                </w:tcPr>
                <w:p w14:paraId="765467C4">
                  <w:pPr>
                    <w:pStyle w:val="51"/>
                    <w:rPr>
                      <w:color w:val="auto"/>
                    </w:rPr>
                  </w:pPr>
                  <w:r>
                    <w:rPr>
                      <w:rFonts w:hint="eastAsia"/>
                      <w:color w:val="auto"/>
                    </w:rPr>
                    <w:t>3</w:t>
                  </w:r>
                </w:p>
              </w:tc>
              <w:tc>
                <w:tcPr>
                  <w:tcW w:w="1576" w:type="dxa"/>
                  <w:vAlign w:val="center"/>
                </w:tcPr>
                <w:p w14:paraId="69277AEA">
                  <w:pPr>
                    <w:pStyle w:val="51"/>
                    <w:rPr>
                      <w:color w:val="auto"/>
                    </w:rPr>
                  </w:pPr>
                  <w:r>
                    <w:rPr>
                      <w:rFonts w:hint="eastAsia"/>
                      <w:color w:val="auto"/>
                    </w:rPr>
                    <w:t>车间排气筒出口或生产设施排气筒出口</w:t>
                  </w:r>
                </w:p>
              </w:tc>
              <w:tc>
                <w:tcPr>
                  <w:tcW w:w="2068" w:type="dxa"/>
                  <w:vAlign w:val="center"/>
                </w:tcPr>
                <w:p w14:paraId="219D9820">
                  <w:pPr>
                    <w:pStyle w:val="51"/>
                    <w:rPr>
                      <w:color w:val="auto"/>
                    </w:rPr>
                  </w:pPr>
                  <w:r>
                    <w:rPr>
                      <w:rFonts w:hint="eastAsia"/>
                      <w:color w:val="auto"/>
                    </w:rPr>
                    <w:t>《大气污染物综合排放标准》</w:t>
                  </w:r>
                  <w:r>
                    <w:rPr>
                      <w:color w:val="auto"/>
                    </w:rPr>
                    <w:t>（</w:t>
                  </w:r>
                  <w:r>
                    <w:rPr>
                      <w:rFonts w:hint="eastAsia"/>
                      <w:color w:val="auto"/>
                    </w:rPr>
                    <w:t>DB 32/4041-2021</w:t>
                  </w:r>
                  <w:r>
                    <w:rPr>
                      <w:color w:val="auto"/>
                    </w:rPr>
                    <w:t>）</w:t>
                  </w:r>
                  <w:r>
                    <w:rPr>
                      <w:rFonts w:hint="eastAsia"/>
                      <w:color w:val="auto"/>
                    </w:rPr>
                    <w:t>表1</w:t>
                  </w:r>
                </w:p>
              </w:tc>
            </w:tr>
            <w:tr w14:paraId="0C9C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7" w:type="dxa"/>
                  <w:vMerge w:val="restart"/>
                  <w:vAlign w:val="center"/>
                </w:tcPr>
                <w:p w14:paraId="6325DF92">
                  <w:pPr>
                    <w:pStyle w:val="51"/>
                    <w:rPr>
                      <w:color w:val="auto"/>
                    </w:rPr>
                  </w:pPr>
                  <w:r>
                    <w:rPr>
                      <w:rFonts w:hint="eastAsia"/>
                      <w:color w:val="auto"/>
                    </w:rPr>
                    <w:t>厂区内</w:t>
                  </w:r>
                </w:p>
              </w:tc>
              <w:tc>
                <w:tcPr>
                  <w:tcW w:w="960" w:type="dxa"/>
                  <w:vMerge w:val="restart"/>
                  <w:vAlign w:val="center"/>
                </w:tcPr>
                <w:p w14:paraId="6A66106E">
                  <w:pPr>
                    <w:pStyle w:val="51"/>
                    <w:rPr>
                      <w:color w:val="auto"/>
                    </w:rPr>
                  </w:pPr>
                  <w:r>
                    <w:rPr>
                      <w:rFonts w:hint="eastAsia"/>
                      <w:color w:val="auto"/>
                    </w:rPr>
                    <w:t>非甲烷总烃</w:t>
                  </w:r>
                </w:p>
              </w:tc>
              <w:tc>
                <w:tcPr>
                  <w:tcW w:w="1612" w:type="dxa"/>
                  <w:vAlign w:val="center"/>
                </w:tcPr>
                <w:p w14:paraId="0C9C5392">
                  <w:pPr>
                    <w:pStyle w:val="51"/>
                    <w:rPr>
                      <w:color w:val="auto"/>
                    </w:rPr>
                  </w:pPr>
                  <w:r>
                    <w:rPr>
                      <w:rFonts w:hint="eastAsia"/>
                      <w:color w:val="auto"/>
                    </w:rPr>
                    <w:t>6（监控点处1h平均浓度值）</w:t>
                  </w:r>
                </w:p>
              </w:tc>
              <w:tc>
                <w:tcPr>
                  <w:tcW w:w="1470" w:type="dxa"/>
                  <w:vMerge w:val="restart"/>
                  <w:vAlign w:val="center"/>
                </w:tcPr>
                <w:p w14:paraId="4E2107C7">
                  <w:pPr>
                    <w:pStyle w:val="51"/>
                    <w:rPr>
                      <w:color w:val="auto"/>
                    </w:rPr>
                  </w:pPr>
                  <w:r>
                    <w:rPr>
                      <w:color w:val="auto"/>
                    </w:rPr>
                    <w:t>/</w:t>
                  </w:r>
                </w:p>
              </w:tc>
              <w:tc>
                <w:tcPr>
                  <w:tcW w:w="1576" w:type="dxa"/>
                  <w:vMerge w:val="restart"/>
                  <w:vAlign w:val="center"/>
                </w:tcPr>
                <w:p w14:paraId="0FF8732C">
                  <w:pPr>
                    <w:pStyle w:val="51"/>
                    <w:rPr>
                      <w:color w:val="auto"/>
                    </w:rPr>
                  </w:pPr>
                  <w:r>
                    <w:rPr>
                      <w:color w:val="auto"/>
                    </w:rPr>
                    <w:t>在厂房外设置监控点</w:t>
                  </w:r>
                </w:p>
              </w:tc>
              <w:tc>
                <w:tcPr>
                  <w:tcW w:w="2068" w:type="dxa"/>
                  <w:vMerge w:val="restart"/>
                  <w:vAlign w:val="center"/>
                </w:tcPr>
                <w:p w14:paraId="1A70D8F0">
                  <w:pPr>
                    <w:pStyle w:val="51"/>
                    <w:rPr>
                      <w:color w:val="auto"/>
                    </w:rPr>
                  </w:pPr>
                  <w:r>
                    <w:rPr>
                      <w:color w:val="auto"/>
                    </w:rPr>
                    <w:t>《大气污染物综合排放标准》（DB 32/4041-2021）表</w:t>
                  </w:r>
                  <w:r>
                    <w:rPr>
                      <w:rFonts w:hint="eastAsia"/>
                      <w:color w:val="auto"/>
                    </w:rPr>
                    <w:t>2</w:t>
                  </w:r>
                </w:p>
              </w:tc>
            </w:tr>
            <w:tr w14:paraId="78F6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continue"/>
                  <w:vAlign w:val="center"/>
                </w:tcPr>
                <w:p w14:paraId="61AC615C">
                  <w:pPr>
                    <w:pStyle w:val="51"/>
                    <w:rPr>
                      <w:color w:val="auto"/>
                    </w:rPr>
                  </w:pPr>
                </w:p>
              </w:tc>
              <w:tc>
                <w:tcPr>
                  <w:tcW w:w="960" w:type="dxa"/>
                  <w:vMerge w:val="continue"/>
                  <w:vAlign w:val="center"/>
                </w:tcPr>
                <w:p w14:paraId="76DEDE42">
                  <w:pPr>
                    <w:pStyle w:val="51"/>
                    <w:rPr>
                      <w:color w:val="auto"/>
                    </w:rPr>
                  </w:pPr>
                </w:p>
              </w:tc>
              <w:tc>
                <w:tcPr>
                  <w:tcW w:w="1612" w:type="dxa"/>
                  <w:vAlign w:val="center"/>
                </w:tcPr>
                <w:p w14:paraId="27CABC20">
                  <w:pPr>
                    <w:pStyle w:val="51"/>
                    <w:rPr>
                      <w:color w:val="auto"/>
                    </w:rPr>
                  </w:pPr>
                  <w:r>
                    <w:rPr>
                      <w:rFonts w:hint="eastAsia"/>
                      <w:color w:val="auto"/>
                    </w:rPr>
                    <w:t>20（监控点处任意一次浓度值）</w:t>
                  </w:r>
                </w:p>
              </w:tc>
              <w:tc>
                <w:tcPr>
                  <w:tcW w:w="1470" w:type="dxa"/>
                  <w:vMerge w:val="continue"/>
                  <w:vAlign w:val="center"/>
                </w:tcPr>
                <w:p w14:paraId="0D92B235">
                  <w:pPr>
                    <w:pStyle w:val="51"/>
                    <w:rPr>
                      <w:color w:val="auto"/>
                    </w:rPr>
                  </w:pPr>
                </w:p>
              </w:tc>
              <w:tc>
                <w:tcPr>
                  <w:tcW w:w="1576" w:type="dxa"/>
                  <w:vMerge w:val="continue"/>
                  <w:vAlign w:val="center"/>
                </w:tcPr>
                <w:p w14:paraId="4D86627C">
                  <w:pPr>
                    <w:pStyle w:val="51"/>
                    <w:rPr>
                      <w:color w:val="auto"/>
                    </w:rPr>
                  </w:pPr>
                </w:p>
              </w:tc>
              <w:tc>
                <w:tcPr>
                  <w:tcW w:w="2068" w:type="dxa"/>
                  <w:vMerge w:val="continue"/>
                  <w:vAlign w:val="center"/>
                </w:tcPr>
                <w:p w14:paraId="3177924A">
                  <w:pPr>
                    <w:pStyle w:val="51"/>
                    <w:rPr>
                      <w:color w:val="auto"/>
                    </w:rPr>
                  </w:pPr>
                </w:p>
              </w:tc>
            </w:tr>
            <w:tr w14:paraId="5FBA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47" w:type="dxa"/>
                  <w:vAlign w:val="center"/>
                </w:tcPr>
                <w:p w14:paraId="72542B63">
                  <w:pPr>
                    <w:pStyle w:val="51"/>
                    <w:rPr>
                      <w:color w:val="auto"/>
                    </w:rPr>
                  </w:pPr>
                  <w:r>
                    <w:rPr>
                      <w:rFonts w:hint="eastAsia"/>
                      <w:color w:val="auto"/>
                    </w:rPr>
                    <w:t>厂界</w:t>
                  </w:r>
                </w:p>
              </w:tc>
              <w:tc>
                <w:tcPr>
                  <w:tcW w:w="960" w:type="dxa"/>
                  <w:vAlign w:val="center"/>
                </w:tcPr>
                <w:p w14:paraId="37A5F72B">
                  <w:pPr>
                    <w:pStyle w:val="51"/>
                    <w:rPr>
                      <w:color w:val="auto"/>
                    </w:rPr>
                  </w:pPr>
                  <w:r>
                    <w:rPr>
                      <w:rFonts w:hint="eastAsia"/>
                      <w:color w:val="auto"/>
                    </w:rPr>
                    <w:t>非甲烷总烃</w:t>
                  </w:r>
                </w:p>
              </w:tc>
              <w:tc>
                <w:tcPr>
                  <w:tcW w:w="1612" w:type="dxa"/>
                  <w:vAlign w:val="center"/>
                </w:tcPr>
                <w:p w14:paraId="1C0C417A">
                  <w:pPr>
                    <w:pStyle w:val="51"/>
                    <w:rPr>
                      <w:color w:val="auto"/>
                    </w:rPr>
                  </w:pPr>
                  <w:r>
                    <w:rPr>
                      <w:rFonts w:hint="eastAsia"/>
                      <w:color w:val="auto"/>
                    </w:rPr>
                    <w:t>4</w:t>
                  </w:r>
                </w:p>
              </w:tc>
              <w:tc>
                <w:tcPr>
                  <w:tcW w:w="1470" w:type="dxa"/>
                  <w:vAlign w:val="center"/>
                </w:tcPr>
                <w:p w14:paraId="18EA31F0">
                  <w:pPr>
                    <w:pStyle w:val="51"/>
                    <w:rPr>
                      <w:color w:val="auto"/>
                    </w:rPr>
                  </w:pPr>
                  <w:r>
                    <w:rPr>
                      <w:rFonts w:hint="eastAsia"/>
                      <w:color w:val="auto"/>
                    </w:rPr>
                    <w:t>/</w:t>
                  </w:r>
                </w:p>
              </w:tc>
              <w:tc>
                <w:tcPr>
                  <w:tcW w:w="1576" w:type="dxa"/>
                  <w:vAlign w:val="center"/>
                </w:tcPr>
                <w:p w14:paraId="2516EFAD">
                  <w:pPr>
                    <w:pStyle w:val="51"/>
                    <w:rPr>
                      <w:color w:val="auto"/>
                    </w:rPr>
                  </w:pPr>
                  <w:r>
                    <w:rPr>
                      <w:rFonts w:hint="eastAsia"/>
                      <w:color w:val="auto"/>
                    </w:rPr>
                    <w:t>边界外浓度最高点</w:t>
                  </w:r>
                </w:p>
              </w:tc>
              <w:tc>
                <w:tcPr>
                  <w:tcW w:w="2068" w:type="dxa"/>
                  <w:vAlign w:val="center"/>
                </w:tcPr>
                <w:p w14:paraId="78B6770C">
                  <w:pPr>
                    <w:pStyle w:val="51"/>
                    <w:rPr>
                      <w:color w:val="auto"/>
                    </w:rPr>
                  </w:pPr>
                  <w:r>
                    <w:rPr>
                      <w:color w:val="auto"/>
                    </w:rPr>
                    <w:t>《大气污染物综合排放标准》（DB 32/4041-2021）表</w:t>
                  </w:r>
                  <w:r>
                    <w:rPr>
                      <w:rFonts w:hint="eastAsia"/>
                      <w:color w:val="auto"/>
                    </w:rPr>
                    <w:t>3</w:t>
                  </w:r>
                </w:p>
              </w:tc>
            </w:tr>
          </w:tbl>
          <w:p w14:paraId="4898E9DB">
            <w:pPr>
              <w:pStyle w:val="47"/>
              <w:ind w:firstLine="482"/>
              <w:rPr>
                <w:b/>
                <w:bCs/>
                <w:color w:val="auto"/>
              </w:rPr>
            </w:pPr>
            <w:r>
              <w:rPr>
                <w:b/>
                <w:bCs/>
                <w:color w:val="auto"/>
              </w:rPr>
              <w:t>2、水污染排放标准</w:t>
            </w:r>
          </w:p>
          <w:p w14:paraId="73E6871B">
            <w:pPr>
              <w:pStyle w:val="47"/>
              <w:ind w:firstLine="480"/>
              <w:rPr>
                <w:color w:val="auto"/>
              </w:rPr>
            </w:pPr>
            <w:r>
              <w:rPr>
                <w:rFonts w:hint="eastAsia"/>
                <w:color w:val="auto"/>
              </w:rPr>
              <w:t>新袁镇污水处理厂近期现状规模为0.3万/d、远期扩建后总规模为0.5万吨/d，</w:t>
            </w:r>
            <w:r>
              <w:rPr>
                <w:color w:val="auto"/>
              </w:rPr>
              <w:t>尾水排放</w:t>
            </w:r>
            <w:r>
              <w:rPr>
                <w:rFonts w:hint="eastAsia"/>
                <w:color w:val="auto"/>
              </w:rPr>
              <w:t>均</w:t>
            </w:r>
            <w:r>
              <w:rPr>
                <w:color w:val="auto"/>
              </w:rPr>
              <w:t>执行《城镇污水处理厂污染物排放标准》</w:t>
            </w:r>
            <w:r>
              <w:rPr>
                <w:rFonts w:hint="eastAsia"/>
                <w:color w:val="auto"/>
              </w:rPr>
              <w:t>（</w:t>
            </w:r>
            <w:r>
              <w:rPr>
                <w:color w:val="auto"/>
              </w:rPr>
              <w:t>GB</w:t>
            </w:r>
            <w:r>
              <w:rPr>
                <w:rFonts w:hint="eastAsia"/>
                <w:color w:val="auto"/>
              </w:rPr>
              <w:t xml:space="preserve"> </w:t>
            </w:r>
            <w:r>
              <w:rPr>
                <w:color w:val="auto"/>
              </w:rPr>
              <w:t>18918-2002</w:t>
            </w:r>
            <w:r>
              <w:rPr>
                <w:rFonts w:hint="eastAsia"/>
                <w:color w:val="auto"/>
              </w:rPr>
              <w:t>）</w:t>
            </w:r>
            <w:r>
              <w:rPr>
                <w:color w:val="auto"/>
              </w:rPr>
              <w:t>一级A标准排入</w:t>
            </w:r>
            <w:r>
              <w:rPr>
                <w:rFonts w:hint="eastAsia"/>
                <w:color w:val="auto"/>
              </w:rPr>
              <w:t>黄码河，</w:t>
            </w:r>
            <w:r>
              <w:rPr>
                <w:color w:val="auto"/>
              </w:rPr>
              <w:t>具体见</w:t>
            </w:r>
            <w:r>
              <w:rPr>
                <w:color w:val="auto"/>
              </w:rPr>
              <w:fldChar w:fldCharType="begin"/>
            </w:r>
            <w:r>
              <w:rPr>
                <w:color w:val="auto"/>
              </w:rPr>
              <w:instrText xml:space="preserve"> REF _Ref6506 \h </w:instrText>
            </w:r>
            <w:r>
              <w:rPr>
                <w:color w:val="auto"/>
              </w:rPr>
              <w:fldChar w:fldCharType="separate"/>
            </w:r>
            <w:r>
              <w:rPr>
                <w:color w:val="auto"/>
              </w:rPr>
              <w:t>表3- 5</w:t>
            </w:r>
            <w:r>
              <w:rPr>
                <w:color w:val="auto"/>
              </w:rPr>
              <w:fldChar w:fldCharType="end"/>
            </w:r>
            <w:r>
              <w:rPr>
                <w:color w:val="auto"/>
              </w:rPr>
              <w:t>。</w:t>
            </w:r>
          </w:p>
          <w:p w14:paraId="34E16EA8">
            <w:pPr>
              <w:pStyle w:val="7"/>
              <w:rPr>
                <w:color w:val="auto"/>
              </w:rPr>
            </w:pPr>
            <w:bookmarkStart w:id="42" w:name="_Ref6506"/>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5</w:t>
            </w:r>
            <w:r>
              <w:rPr>
                <w:color w:val="auto"/>
              </w:rPr>
              <w:fldChar w:fldCharType="end"/>
            </w:r>
            <w:bookmarkEnd w:id="42"/>
            <w:r>
              <w:rPr>
                <w:color w:val="auto"/>
              </w:rPr>
              <w:t xml:space="preserve"> 废水污染物接管标准和污水处理厂尾水排放标准（单位：mg/L</w:t>
            </w:r>
            <w:r>
              <w:rPr>
                <w:rFonts w:hint="eastAsia"/>
                <w:color w:val="auto"/>
              </w:rPr>
              <w:t>，pH无量纲</w:t>
            </w:r>
            <w:r>
              <w:rPr>
                <w:color w:val="auto"/>
              </w:rPr>
              <w:t>）</w:t>
            </w:r>
          </w:p>
          <w:tbl>
            <w:tblPr>
              <w:tblStyle w:val="15"/>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97"/>
              <w:gridCol w:w="1050"/>
              <w:gridCol w:w="1109"/>
              <w:gridCol w:w="1169"/>
              <w:gridCol w:w="1109"/>
              <w:gridCol w:w="1314"/>
            </w:tblGrid>
            <w:tr w14:paraId="4604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89" w:type="pct"/>
                  <w:vAlign w:val="center"/>
                </w:tcPr>
                <w:p w14:paraId="69DEB28D">
                  <w:pPr>
                    <w:pStyle w:val="49"/>
                    <w:rPr>
                      <w:color w:val="auto"/>
                    </w:rPr>
                  </w:pPr>
                  <w:r>
                    <w:rPr>
                      <w:color w:val="auto"/>
                    </w:rPr>
                    <w:t>指标名称</w:t>
                  </w:r>
                </w:p>
              </w:tc>
              <w:tc>
                <w:tcPr>
                  <w:tcW w:w="593" w:type="pct"/>
                  <w:vAlign w:val="center"/>
                </w:tcPr>
                <w:p w14:paraId="073764AF">
                  <w:pPr>
                    <w:pStyle w:val="49"/>
                    <w:rPr>
                      <w:color w:val="auto"/>
                    </w:rPr>
                  </w:pPr>
                  <w:r>
                    <w:rPr>
                      <w:color w:val="auto"/>
                    </w:rPr>
                    <w:t>pH</w:t>
                  </w:r>
                </w:p>
              </w:tc>
              <w:tc>
                <w:tcPr>
                  <w:tcW w:w="624" w:type="pct"/>
                  <w:vAlign w:val="center"/>
                </w:tcPr>
                <w:p w14:paraId="613682A3">
                  <w:pPr>
                    <w:pStyle w:val="49"/>
                    <w:rPr>
                      <w:color w:val="auto"/>
                    </w:rPr>
                  </w:pPr>
                  <w:r>
                    <w:rPr>
                      <w:color w:val="auto"/>
                    </w:rPr>
                    <w:t>COD</w:t>
                  </w:r>
                </w:p>
              </w:tc>
              <w:tc>
                <w:tcPr>
                  <w:tcW w:w="659" w:type="pct"/>
                  <w:vAlign w:val="center"/>
                </w:tcPr>
                <w:p w14:paraId="542AD4FF">
                  <w:pPr>
                    <w:pStyle w:val="49"/>
                    <w:rPr>
                      <w:color w:val="auto"/>
                    </w:rPr>
                  </w:pPr>
                  <w:r>
                    <w:rPr>
                      <w:color w:val="auto"/>
                    </w:rPr>
                    <w:t>SS</w:t>
                  </w:r>
                </w:p>
              </w:tc>
              <w:tc>
                <w:tcPr>
                  <w:tcW w:w="695" w:type="pct"/>
                  <w:vAlign w:val="center"/>
                </w:tcPr>
                <w:p w14:paraId="78DCAC30">
                  <w:pPr>
                    <w:pStyle w:val="49"/>
                    <w:rPr>
                      <w:color w:val="auto"/>
                    </w:rPr>
                  </w:pPr>
                  <w:r>
                    <w:rPr>
                      <w:color w:val="auto"/>
                    </w:rPr>
                    <w:t>氨氮</w:t>
                  </w:r>
                </w:p>
              </w:tc>
              <w:tc>
                <w:tcPr>
                  <w:tcW w:w="659" w:type="pct"/>
                  <w:vAlign w:val="center"/>
                </w:tcPr>
                <w:p w14:paraId="030499DC">
                  <w:pPr>
                    <w:pStyle w:val="49"/>
                    <w:rPr>
                      <w:color w:val="auto"/>
                    </w:rPr>
                  </w:pPr>
                  <w:r>
                    <w:rPr>
                      <w:color w:val="auto"/>
                    </w:rPr>
                    <w:t>TP</w:t>
                  </w:r>
                </w:p>
              </w:tc>
              <w:tc>
                <w:tcPr>
                  <w:tcW w:w="778" w:type="pct"/>
                  <w:vAlign w:val="center"/>
                </w:tcPr>
                <w:p w14:paraId="71FE4709">
                  <w:pPr>
                    <w:pStyle w:val="49"/>
                    <w:rPr>
                      <w:color w:val="auto"/>
                    </w:rPr>
                  </w:pPr>
                  <w:r>
                    <w:rPr>
                      <w:color w:val="auto"/>
                    </w:rPr>
                    <w:t>TN</w:t>
                  </w:r>
                </w:p>
              </w:tc>
            </w:tr>
            <w:tr w14:paraId="58F8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89" w:type="pct"/>
                  <w:vAlign w:val="center"/>
                </w:tcPr>
                <w:p w14:paraId="63D8AB13">
                  <w:pPr>
                    <w:pStyle w:val="51"/>
                    <w:rPr>
                      <w:color w:val="auto"/>
                    </w:rPr>
                  </w:pPr>
                  <w:r>
                    <w:rPr>
                      <w:color w:val="auto"/>
                    </w:rPr>
                    <w:t>接管标准</w:t>
                  </w:r>
                </w:p>
              </w:tc>
              <w:tc>
                <w:tcPr>
                  <w:tcW w:w="593" w:type="pct"/>
                  <w:vAlign w:val="center"/>
                </w:tcPr>
                <w:p w14:paraId="34EABD57">
                  <w:pPr>
                    <w:pStyle w:val="51"/>
                    <w:rPr>
                      <w:color w:val="auto"/>
                    </w:rPr>
                  </w:pPr>
                  <w:r>
                    <w:rPr>
                      <w:color w:val="auto"/>
                    </w:rPr>
                    <w:t>6</w:t>
                  </w:r>
                  <w:r>
                    <w:rPr>
                      <w:rFonts w:hint="eastAsia"/>
                      <w:color w:val="auto"/>
                    </w:rPr>
                    <w:t>~</w:t>
                  </w:r>
                  <w:r>
                    <w:rPr>
                      <w:color w:val="auto"/>
                    </w:rPr>
                    <w:t>9</w:t>
                  </w:r>
                </w:p>
              </w:tc>
              <w:tc>
                <w:tcPr>
                  <w:tcW w:w="624" w:type="pct"/>
                  <w:shd w:val="clear" w:color="auto" w:fill="auto"/>
                  <w:vAlign w:val="center"/>
                </w:tcPr>
                <w:p w14:paraId="56222A32">
                  <w:pPr>
                    <w:pStyle w:val="51"/>
                    <w:rPr>
                      <w:color w:val="auto"/>
                    </w:rPr>
                  </w:pPr>
                  <w:r>
                    <w:rPr>
                      <w:color w:val="auto"/>
                    </w:rPr>
                    <w:t>≤280</w:t>
                  </w:r>
                </w:p>
              </w:tc>
              <w:tc>
                <w:tcPr>
                  <w:tcW w:w="659" w:type="pct"/>
                  <w:shd w:val="clear" w:color="auto" w:fill="auto"/>
                  <w:vAlign w:val="center"/>
                </w:tcPr>
                <w:p w14:paraId="5DE9793D">
                  <w:pPr>
                    <w:pStyle w:val="51"/>
                    <w:rPr>
                      <w:color w:val="auto"/>
                    </w:rPr>
                  </w:pPr>
                  <w:r>
                    <w:rPr>
                      <w:color w:val="auto"/>
                    </w:rPr>
                    <w:t>≤180</w:t>
                  </w:r>
                </w:p>
              </w:tc>
              <w:tc>
                <w:tcPr>
                  <w:tcW w:w="695" w:type="pct"/>
                  <w:shd w:val="clear" w:color="auto" w:fill="auto"/>
                  <w:vAlign w:val="center"/>
                </w:tcPr>
                <w:p w14:paraId="35C352CE">
                  <w:pPr>
                    <w:pStyle w:val="51"/>
                    <w:rPr>
                      <w:color w:val="auto"/>
                    </w:rPr>
                  </w:pPr>
                  <w:r>
                    <w:rPr>
                      <w:color w:val="auto"/>
                    </w:rPr>
                    <w:t>≤</w:t>
                  </w:r>
                  <w:r>
                    <w:rPr>
                      <w:rFonts w:hint="eastAsia"/>
                      <w:color w:val="auto"/>
                    </w:rPr>
                    <w:t>35</w:t>
                  </w:r>
                </w:p>
              </w:tc>
              <w:tc>
                <w:tcPr>
                  <w:tcW w:w="659" w:type="pct"/>
                  <w:shd w:val="clear" w:color="auto" w:fill="auto"/>
                  <w:vAlign w:val="center"/>
                </w:tcPr>
                <w:p w14:paraId="57EA749C">
                  <w:pPr>
                    <w:pStyle w:val="51"/>
                    <w:rPr>
                      <w:color w:val="auto"/>
                    </w:rPr>
                  </w:pPr>
                  <w:r>
                    <w:rPr>
                      <w:color w:val="auto"/>
                    </w:rPr>
                    <w:t>≤</w:t>
                  </w:r>
                  <w:r>
                    <w:rPr>
                      <w:rFonts w:hint="eastAsia"/>
                      <w:color w:val="auto"/>
                    </w:rPr>
                    <w:t>3</w:t>
                  </w:r>
                </w:p>
              </w:tc>
              <w:tc>
                <w:tcPr>
                  <w:tcW w:w="778" w:type="pct"/>
                  <w:shd w:val="clear" w:color="auto" w:fill="auto"/>
                  <w:vAlign w:val="center"/>
                </w:tcPr>
                <w:p w14:paraId="7343A3C8">
                  <w:pPr>
                    <w:pStyle w:val="51"/>
                    <w:rPr>
                      <w:color w:val="auto"/>
                    </w:rPr>
                  </w:pPr>
                  <w:r>
                    <w:rPr>
                      <w:color w:val="auto"/>
                    </w:rPr>
                    <w:t>≤</w:t>
                  </w:r>
                  <w:r>
                    <w:rPr>
                      <w:rFonts w:hint="eastAsia"/>
                      <w:color w:val="auto"/>
                    </w:rPr>
                    <w:t>5</w:t>
                  </w:r>
                  <w:r>
                    <w:rPr>
                      <w:color w:val="auto"/>
                    </w:rPr>
                    <w:t>0</w:t>
                  </w:r>
                </w:p>
              </w:tc>
            </w:tr>
            <w:tr w14:paraId="0989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89" w:type="pct"/>
                  <w:vAlign w:val="center"/>
                </w:tcPr>
                <w:p w14:paraId="3465907F">
                  <w:pPr>
                    <w:pStyle w:val="51"/>
                    <w:rPr>
                      <w:color w:val="auto"/>
                    </w:rPr>
                  </w:pPr>
                  <w:r>
                    <w:rPr>
                      <w:rFonts w:hint="eastAsia"/>
                      <w:color w:val="auto"/>
                    </w:rPr>
                    <w:t>新袁镇</w:t>
                  </w:r>
                  <w:r>
                    <w:rPr>
                      <w:color w:val="auto"/>
                    </w:rPr>
                    <w:t>污水处理厂排放标准</w:t>
                  </w:r>
                </w:p>
              </w:tc>
              <w:tc>
                <w:tcPr>
                  <w:tcW w:w="593" w:type="pct"/>
                  <w:vAlign w:val="center"/>
                </w:tcPr>
                <w:p w14:paraId="28B429B8">
                  <w:pPr>
                    <w:pStyle w:val="51"/>
                    <w:rPr>
                      <w:color w:val="auto"/>
                    </w:rPr>
                  </w:pPr>
                  <w:r>
                    <w:rPr>
                      <w:color w:val="auto"/>
                    </w:rPr>
                    <w:t>6</w:t>
                  </w:r>
                  <w:r>
                    <w:rPr>
                      <w:rFonts w:hint="eastAsia"/>
                      <w:color w:val="auto"/>
                    </w:rPr>
                    <w:t>~</w:t>
                  </w:r>
                  <w:r>
                    <w:rPr>
                      <w:color w:val="auto"/>
                    </w:rPr>
                    <w:t>9</w:t>
                  </w:r>
                </w:p>
              </w:tc>
              <w:tc>
                <w:tcPr>
                  <w:tcW w:w="624" w:type="pct"/>
                  <w:shd w:val="clear" w:color="auto" w:fill="auto"/>
                  <w:vAlign w:val="center"/>
                </w:tcPr>
                <w:p w14:paraId="7F1DCED9">
                  <w:pPr>
                    <w:pStyle w:val="51"/>
                    <w:rPr>
                      <w:color w:val="auto"/>
                    </w:rPr>
                  </w:pPr>
                  <w:r>
                    <w:rPr>
                      <w:color w:val="auto"/>
                    </w:rPr>
                    <w:t>≤50</w:t>
                  </w:r>
                </w:p>
              </w:tc>
              <w:tc>
                <w:tcPr>
                  <w:tcW w:w="659" w:type="pct"/>
                  <w:shd w:val="clear" w:color="auto" w:fill="auto"/>
                  <w:vAlign w:val="center"/>
                </w:tcPr>
                <w:p w14:paraId="1BCFFFB3">
                  <w:pPr>
                    <w:pStyle w:val="51"/>
                    <w:rPr>
                      <w:color w:val="auto"/>
                    </w:rPr>
                  </w:pPr>
                  <w:r>
                    <w:rPr>
                      <w:color w:val="auto"/>
                    </w:rPr>
                    <w:t>≤10</w:t>
                  </w:r>
                </w:p>
              </w:tc>
              <w:tc>
                <w:tcPr>
                  <w:tcW w:w="695" w:type="pct"/>
                  <w:shd w:val="clear" w:color="auto" w:fill="auto"/>
                  <w:vAlign w:val="center"/>
                </w:tcPr>
                <w:p w14:paraId="67889638">
                  <w:pPr>
                    <w:pStyle w:val="51"/>
                    <w:rPr>
                      <w:color w:val="auto"/>
                    </w:rPr>
                  </w:pPr>
                  <w:r>
                    <w:rPr>
                      <w:color w:val="auto"/>
                    </w:rPr>
                    <w:t>≤</w:t>
                  </w:r>
                  <w:r>
                    <w:rPr>
                      <w:rFonts w:hint="eastAsia"/>
                      <w:color w:val="auto"/>
                    </w:rPr>
                    <w:t>5</w:t>
                  </w:r>
                  <w:r>
                    <w:rPr>
                      <w:color w:val="auto"/>
                    </w:rPr>
                    <w:t>（</w:t>
                  </w:r>
                  <w:r>
                    <w:rPr>
                      <w:rFonts w:hint="eastAsia"/>
                      <w:color w:val="auto"/>
                    </w:rPr>
                    <w:t>8</w:t>
                  </w:r>
                  <w:r>
                    <w:rPr>
                      <w:color w:val="auto"/>
                    </w:rPr>
                    <w:t>）</w:t>
                  </w:r>
                </w:p>
              </w:tc>
              <w:tc>
                <w:tcPr>
                  <w:tcW w:w="659" w:type="pct"/>
                  <w:shd w:val="clear" w:color="auto" w:fill="auto"/>
                  <w:vAlign w:val="center"/>
                </w:tcPr>
                <w:p w14:paraId="02D2DD33">
                  <w:pPr>
                    <w:pStyle w:val="51"/>
                    <w:rPr>
                      <w:color w:val="auto"/>
                    </w:rPr>
                  </w:pPr>
                  <w:r>
                    <w:rPr>
                      <w:color w:val="auto"/>
                    </w:rPr>
                    <w:t>≤</w:t>
                  </w:r>
                  <w:r>
                    <w:rPr>
                      <w:rFonts w:hint="eastAsia"/>
                      <w:color w:val="auto"/>
                    </w:rPr>
                    <w:t>0.5</w:t>
                  </w:r>
                </w:p>
              </w:tc>
              <w:tc>
                <w:tcPr>
                  <w:tcW w:w="778" w:type="pct"/>
                  <w:shd w:val="clear" w:color="auto" w:fill="auto"/>
                  <w:vAlign w:val="center"/>
                </w:tcPr>
                <w:p w14:paraId="05318122">
                  <w:pPr>
                    <w:pStyle w:val="51"/>
                    <w:rPr>
                      <w:color w:val="auto"/>
                    </w:rPr>
                  </w:pPr>
                  <w:r>
                    <w:rPr>
                      <w:color w:val="auto"/>
                    </w:rPr>
                    <w:t>≤</w:t>
                  </w:r>
                  <w:r>
                    <w:rPr>
                      <w:rFonts w:hint="eastAsia"/>
                      <w:color w:val="auto"/>
                    </w:rPr>
                    <w:t>15</w:t>
                  </w:r>
                </w:p>
              </w:tc>
            </w:tr>
            <w:tr w14:paraId="4836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00" w:type="pct"/>
                  <w:gridSpan w:val="7"/>
                  <w:vAlign w:val="center"/>
                </w:tcPr>
                <w:p w14:paraId="65217F8A">
                  <w:pPr>
                    <w:pStyle w:val="51"/>
                    <w:jc w:val="both"/>
                    <w:rPr>
                      <w:color w:val="auto"/>
                    </w:rPr>
                  </w:pPr>
                  <w:r>
                    <w:rPr>
                      <w:color w:val="auto"/>
                    </w:rPr>
                    <w:t>注：每年11月1日至次年3月31日执行括号内排放限值。</w:t>
                  </w:r>
                </w:p>
              </w:tc>
            </w:tr>
          </w:tbl>
          <w:p w14:paraId="5B68ED0F">
            <w:pPr>
              <w:pStyle w:val="47"/>
              <w:ind w:firstLine="480"/>
              <w:rPr>
                <w:color w:val="auto"/>
              </w:rPr>
            </w:pPr>
            <w:r>
              <w:rPr>
                <w:color w:val="auto"/>
              </w:rPr>
              <w:t>本项目仅外排职工生活污水，职工生活污水经化粪池预处理达标后接管至</w:t>
            </w:r>
            <w:r>
              <w:rPr>
                <w:rFonts w:hint="eastAsia"/>
                <w:color w:val="auto"/>
              </w:rPr>
              <w:t>近期新袁镇</w:t>
            </w:r>
            <w:r>
              <w:rPr>
                <w:color w:val="auto"/>
              </w:rPr>
              <w:t>污水处理厂集中处理，尾水排入</w:t>
            </w:r>
            <w:r>
              <w:rPr>
                <w:rFonts w:hint="eastAsia"/>
                <w:color w:val="auto"/>
              </w:rPr>
              <w:t>黄码河</w:t>
            </w:r>
            <w:r>
              <w:rPr>
                <w:color w:val="auto"/>
              </w:rPr>
              <w:t>。本项目</w:t>
            </w:r>
            <w:r>
              <w:rPr>
                <w:rFonts w:hint="eastAsia"/>
                <w:color w:val="auto"/>
              </w:rPr>
              <w:t>喷水织造</w:t>
            </w:r>
            <w:r>
              <w:rPr>
                <w:color w:val="auto"/>
              </w:rPr>
              <w:t>废水经厂区污水站处理后全部回用</w:t>
            </w:r>
            <w:r>
              <w:rPr>
                <w:rFonts w:hint="eastAsia"/>
                <w:color w:val="auto"/>
              </w:rPr>
              <w:t>、不外排，</w:t>
            </w:r>
            <w:r>
              <w:rPr>
                <w:color w:val="auto"/>
              </w:rPr>
              <w:t>回用水质参照</w:t>
            </w:r>
            <w:r>
              <w:rPr>
                <w:rFonts w:hint="eastAsia"/>
                <w:color w:val="auto"/>
              </w:rPr>
              <w:t>《城市污水再生利用 工业用水水质》（GB/T 19923-2024）表1 再生水用作工业用水水质基本控制项目及限值</w:t>
            </w:r>
            <w:r>
              <w:rPr>
                <w:rFonts w:hint="eastAsia"/>
                <w:color w:val="auto"/>
                <w:lang w:eastAsia="zh-CN"/>
              </w:rPr>
              <w:t>、</w:t>
            </w:r>
            <w:r>
              <w:rPr>
                <w:rFonts w:hint="eastAsia"/>
                <w:color w:val="auto"/>
              </w:rPr>
              <w:t>总锑</w:t>
            </w:r>
            <w:r>
              <w:rPr>
                <w:rFonts w:hint="eastAsia"/>
                <w:color w:val="auto"/>
                <w:lang w:val="en-US" w:eastAsia="zh-CN"/>
              </w:rPr>
              <w:t>水质参照</w:t>
            </w:r>
            <w:r>
              <w:rPr>
                <w:rFonts w:hint="eastAsia"/>
                <w:color w:val="auto"/>
              </w:rPr>
              <w:t>《纺织染整工业废水中锑污染物排放标准》（DB32/3432-2018）</w:t>
            </w:r>
            <w:r>
              <w:rPr>
                <w:rFonts w:hint="eastAsia"/>
                <w:color w:val="auto"/>
                <w:lang w:val="en-US" w:eastAsia="zh-CN"/>
              </w:rPr>
              <w:t>表2 纺织染整企业废水中总锑特别排放限值，</w:t>
            </w:r>
            <w:r>
              <w:rPr>
                <w:rFonts w:hint="eastAsia"/>
                <w:color w:val="auto"/>
              </w:rPr>
              <w:t>具体详见</w:t>
            </w:r>
            <w:r>
              <w:rPr>
                <w:rFonts w:hint="eastAsia"/>
                <w:color w:val="auto"/>
              </w:rPr>
              <w:fldChar w:fldCharType="begin"/>
            </w:r>
            <w:r>
              <w:rPr>
                <w:rFonts w:hint="eastAsia"/>
                <w:color w:val="auto"/>
              </w:rPr>
              <w:instrText xml:space="preserve"> REF _Ref2853 \h </w:instrText>
            </w:r>
            <w:r>
              <w:rPr>
                <w:rFonts w:hint="eastAsia"/>
                <w:color w:val="auto"/>
              </w:rPr>
              <w:fldChar w:fldCharType="separate"/>
            </w:r>
            <w:r>
              <w:rPr>
                <w:color w:val="auto"/>
              </w:rPr>
              <w:t>表3- 6</w:t>
            </w:r>
            <w:r>
              <w:rPr>
                <w:rFonts w:hint="eastAsia"/>
                <w:color w:val="auto"/>
              </w:rPr>
              <w:fldChar w:fldCharType="end"/>
            </w:r>
            <w:r>
              <w:rPr>
                <w:rFonts w:hint="eastAsia"/>
                <w:color w:val="auto"/>
              </w:rPr>
              <w:t>。</w:t>
            </w:r>
          </w:p>
          <w:p w14:paraId="440A0CB3">
            <w:pPr>
              <w:pStyle w:val="7"/>
              <w:rPr>
                <w:color w:val="auto"/>
              </w:rPr>
            </w:pPr>
            <w:bookmarkStart w:id="43" w:name="_Ref2853"/>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6</w:t>
            </w:r>
            <w:r>
              <w:rPr>
                <w:color w:val="auto"/>
              </w:rPr>
              <w:fldChar w:fldCharType="end"/>
            </w:r>
            <w:bookmarkEnd w:id="43"/>
            <w:r>
              <w:rPr>
                <w:color w:val="auto"/>
              </w:rPr>
              <w:t xml:space="preserve"> </w:t>
            </w:r>
            <w:r>
              <w:rPr>
                <w:rFonts w:hint="eastAsia"/>
                <w:color w:val="auto"/>
              </w:rPr>
              <w:t>织布废水回用水质标准</w:t>
            </w:r>
            <w:r>
              <w:rPr>
                <w:color w:val="auto"/>
              </w:rPr>
              <w:t>（单位：mg/L</w:t>
            </w:r>
            <w:r>
              <w:rPr>
                <w:rFonts w:hint="eastAsia"/>
                <w:color w:val="auto"/>
              </w:rPr>
              <w:t>，pH无量纲</w:t>
            </w:r>
            <w:r>
              <w:rPr>
                <w:color w:val="auto"/>
              </w:rPr>
              <w:t>）</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945"/>
              <w:gridCol w:w="712"/>
              <w:gridCol w:w="875"/>
              <w:gridCol w:w="875"/>
              <w:gridCol w:w="875"/>
              <w:gridCol w:w="875"/>
              <w:gridCol w:w="875"/>
              <w:gridCol w:w="878"/>
            </w:tblGrid>
            <w:tr w14:paraId="6AC9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903" w:type="pct"/>
                  <w:vAlign w:val="center"/>
                </w:tcPr>
                <w:p w14:paraId="7F84C9B2">
                  <w:pPr>
                    <w:pStyle w:val="49"/>
                    <w:rPr>
                      <w:color w:val="auto"/>
                    </w:rPr>
                  </w:pPr>
                  <w:r>
                    <w:rPr>
                      <w:color w:val="auto"/>
                    </w:rPr>
                    <w:t>指标名称</w:t>
                  </w:r>
                </w:p>
              </w:tc>
              <w:tc>
                <w:tcPr>
                  <w:tcW w:w="560" w:type="pct"/>
                  <w:vAlign w:val="center"/>
                </w:tcPr>
                <w:p w14:paraId="1F1C097E">
                  <w:pPr>
                    <w:pStyle w:val="49"/>
                    <w:rPr>
                      <w:color w:val="auto"/>
                    </w:rPr>
                  </w:pPr>
                  <w:r>
                    <w:rPr>
                      <w:rFonts w:hint="eastAsia"/>
                      <w:color w:val="auto"/>
                    </w:rPr>
                    <w:t>pH</w:t>
                  </w:r>
                </w:p>
              </w:tc>
              <w:tc>
                <w:tcPr>
                  <w:tcW w:w="422" w:type="pct"/>
                  <w:vAlign w:val="center"/>
                </w:tcPr>
                <w:p w14:paraId="4ADB3F9B">
                  <w:pPr>
                    <w:pStyle w:val="49"/>
                    <w:rPr>
                      <w:color w:val="auto"/>
                    </w:rPr>
                  </w:pPr>
                  <w:r>
                    <w:rPr>
                      <w:color w:val="auto"/>
                    </w:rPr>
                    <w:t>COD</w:t>
                  </w:r>
                </w:p>
              </w:tc>
              <w:tc>
                <w:tcPr>
                  <w:tcW w:w="518" w:type="pct"/>
                  <w:vAlign w:val="center"/>
                </w:tcPr>
                <w:p w14:paraId="4B484076">
                  <w:pPr>
                    <w:pStyle w:val="49"/>
                    <w:rPr>
                      <w:color w:val="auto"/>
                    </w:rPr>
                  </w:pPr>
                  <w:r>
                    <w:rPr>
                      <w:rFonts w:hint="eastAsia"/>
                      <w:color w:val="auto"/>
                    </w:rPr>
                    <w:t>SS</w:t>
                  </w:r>
                </w:p>
              </w:tc>
              <w:tc>
                <w:tcPr>
                  <w:tcW w:w="518" w:type="pct"/>
                  <w:vAlign w:val="center"/>
                </w:tcPr>
                <w:p w14:paraId="752EA513">
                  <w:pPr>
                    <w:pStyle w:val="49"/>
                    <w:rPr>
                      <w:color w:val="auto"/>
                    </w:rPr>
                  </w:pPr>
                  <w:r>
                    <w:rPr>
                      <w:rFonts w:hint="eastAsia"/>
                      <w:color w:val="auto"/>
                    </w:rPr>
                    <w:t>氨氮</w:t>
                  </w:r>
                </w:p>
              </w:tc>
              <w:tc>
                <w:tcPr>
                  <w:tcW w:w="518" w:type="pct"/>
                  <w:vAlign w:val="center"/>
                </w:tcPr>
                <w:p w14:paraId="0A2F73AB">
                  <w:pPr>
                    <w:pStyle w:val="49"/>
                    <w:rPr>
                      <w:color w:val="auto"/>
                    </w:rPr>
                  </w:pPr>
                  <w:r>
                    <w:rPr>
                      <w:rFonts w:hint="eastAsia"/>
                      <w:color w:val="auto"/>
                    </w:rPr>
                    <w:t>总氮</w:t>
                  </w:r>
                </w:p>
              </w:tc>
              <w:tc>
                <w:tcPr>
                  <w:tcW w:w="518" w:type="pct"/>
                  <w:vAlign w:val="center"/>
                </w:tcPr>
                <w:p w14:paraId="1DBADC18">
                  <w:pPr>
                    <w:pStyle w:val="49"/>
                    <w:rPr>
                      <w:color w:val="auto"/>
                    </w:rPr>
                  </w:pPr>
                  <w:r>
                    <w:rPr>
                      <w:rFonts w:hint="eastAsia"/>
                      <w:color w:val="auto"/>
                    </w:rPr>
                    <w:t>总磷</w:t>
                  </w:r>
                </w:p>
              </w:tc>
              <w:tc>
                <w:tcPr>
                  <w:tcW w:w="518" w:type="pct"/>
                  <w:vAlign w:val="center"/>
                </w:tcPr>
                <w:p w14:paraId="14F7E4C4">
                  <w:pPr>
                    <w:pStyle w:val="49"/>
                    <w:rPr>
                      <w:color w:val="auto"/>
                    </w:rPr>
                  </w:pPr>
                  <w:r>
                    <w:rPr>
                      <w:rFonts w:hint="eastAsia"/>
                      <w:color w:val="auto"/>
                    </w:rPr>
                    <w:t>石油类</w:t>
                  </w:r>
                </w:p>
              </w:tc>
              <w:tc>
                <w:tcPr>
                  <w:tcW w:w="520" w:type="pct"/>
                  <w:vAlign w:val="center"/>
                </w:tcPr>
                <w:p w14:paraId="3155BDE1">
                  <w:pPr>
                    <w:pStyle w:val="49"/>
                    <w:rPr>
                      <w:color w:val="auto"/>
                    </w:rPr>
                  </w:pPr>
                  <w:r>
                    <w:rPr>
                      <w:rFonts w:hint="eastAsia"/>
                      <w:color w:val="auto"/>
                    </w:rPr>
                    <w:t>总锑</w:t>
                  </w:r>
                </w:p>
              </w:tc>
            </w:tr>
            <w:tr w14:paraId="5039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3" w:type="pct"/>
                  <w:vAlign w:val="center"/>
                </w:tcPr>
                <w:p w14:paraId="72804CB7">
                  <w:pPr>
                    <w:pStyle w:val="51"/>
                    <w:rPr>
                      <w:color w:val="auto"/>
                    </w:rPr>
                  </w:pPr>
                  <w:r>
                    <w:rPr>
                      <w:rFonts w:hint="eastAsia"/>
                      <w:color w:val="auto"/>
                    </w:rPr>
                    <w:t>回用水质标准</w:t>
                  </w:r>
                </w:p>
              </w:tc>
              <w:tc>
                <w:tcPr>
                  <w:tcW w:w="560" w:type="pct"/>
                  <w:vAlign w:val="center"/>
                </w:tcPr>
                <w:p w14:paraId="59B5D1C6">
                  <w:pPr>
                    <w:pStyle w:val="51"/>
                    <w:rPr>
                      <w:rFonts w:hint="default" w:eastAsia="宋体"/>
                      <w:color w:val="auto"/>
                      <w:lang w:val="en-US" w:eastAsia="zh-CN"/>
                    </w:rPr>
                  </w:pPr>
                  <w:r>
                    <w:rPr>
                      <w:rFonts w:hint="eastAsia"/>
                      <w:color w:val="auto"/>
                      <w:lang w:val="en-US" w:eastAsia="zh-CN"/>
                    </w:rPr>
                    <w:t>6.0~9.0</w:t>
                  </w:r>
                </w:p>
              </w:tc>
              <w:tc>
                <w:tcPr>
                  <w:tcW w:w="422" w:type="pct"/>
                  <w:shd w:val="clear" w:color="auto" w:fill="auto"/>
                  <w:vAlign w:val="center"/>
                </w:tcPr>
                <w:p w14:paraId="12EE0365">
                  <w:pPr>
                    <w:pStyle w:val="51"/>
                    <w:rPr>
                      <w:color w:val="auto"/>
                    </w:rPr>
                  </w:pPr>
                  <w:r>
                    <w:rPr>
                      <w:rFonts w:hint="eastAsia"/>
                      <w:color w:val="auto"/>
                      <w:lang w:val="en-US" w:eastAsia="zh-CN"/>
                    </w:rPr>
                    <w:t>50</w:t>
                  </w:r>
                </w:p>
              </w:tc>
              <w:tc>
                <w:tcPr>
                  <w:tcW w:w="518" w:type="pct"/>
                  <w:shd w:val="clear" w:color="auto" w:fill="auto"/>
                  <w:vAlign w:val="center"/>
                </w:tcPr>
                <w:p w14:paraId="0C20CB0A">
                  <w:pPr>
                    <w:pStyle w:val="51"/>
                    <w:rPr>
                      <w:rFonts w:hint="eastAsia" w:eastAsia="宋体"/>
                      <w:color w:val="auto"/>
                      <w:lang w:val="en-US" w:eastAsia="zh-CN"/>
                    </w:rPr>
                  </w:pPr>
                  <w:r>
                    <w:rPr>
                      <w:rFonts w:hint="eastAsia"/>
                      <w:color w:val="auto"/>
                      <w:lang w:val="en-US" w:eastAsia="zh-CN"/>
                    </w:rPr>
                    <w:t>/</w:t>
                  </w:r>
                </w:p>
              </w:tc>
              <w:tc>
                <w:tcPr>
                  <w:tcW w:w="518" w:type="pct"/>
                  <w:shd w:val="clear" w:color="auto" w:fill="auto"/>
                  <w:vAlign w:val="center"/>
                </w:tcPr>
                <w:p w14:paraId="4F5DAC8E">
                  <w:pPr>
                    <w:pStyle w:val="51"/>
                    <w:rPr>
                      <w:rFonts w:hint="eastAsia" w:eastAsia="宋体"/>
                      <w:color w:val="auto"/>
                      <w:lang w:val="en-US" w:eastAsia="zh-CN"/>
                    </w:rPr>
                  </w:pPr>
                  <w:r>
                    <w:rPr>
                      <w:rFonts w:hint="eastAsia"/>
                      <w:color w:val="auto"/>
                      <w:lang w:val="en-US" w:eastAsia="zh-CN"/>
                    </w:rPr>
                    <w:t>5</w:t>
                  </w:r>
                </w:p>
              </w:tc>
              <w:tc>
                <w:tcPr>
                  <w:tcW w:w="518" w:type="pct"/>
                  <w:shd w:val="clear" w:color="auto" w:fill="auto"/>
                  <w:vAlign w:val="center"/>
                </w:tcPr>
                <w:p w14:paraId="5603AFC0">
                  <w:pPr>
                    <w:pStyle w:val="51"/>
                    <w:rPr>
                      <w:rFonts w:hint="default" w:eastAsia="宋体"/>
                      <w:color w:val="auto"/>
                      <w:lang w:val="en-US" w:eastAsia="zh-CN"/>
                    </w:rPr>
                  </w:pPr>
                  <w:r>
                    <w:rPr>
                      <w:rFonts w:hint="eastAsia"/>
                      <w:color w:val="auto"/>
                      <w:lang w:val="en-US" w:eastAsia="zh-CN"/>
                    </w:rPr>
                    <w:t>15</w:t>
                  </w:r>
                </w:p>
              </w:tc>
              <w:tc>
                <w:tcPr>
                  <w:tcW w:w="518" w:type="pct"/>
                  <w:shd w:val="clear" w:color="auto" w:fill="auto"/>
                  <w:vAlign w:val="center"/>
                </w:tcPr>
                <w:p w14:paraId="36B79E9C">
                  <w:pPr>
                    <w:pStyle w:val="51"/>
                    <w:rPr>
                      <w:rFonts w:hint="default" w:eastAsia="宋体"/>
                      <w:color w:val="auto"/>
                      <w:lang w:val="en-US" w:eastAsia="zh-CN"/>
                    </w:rPr>
                  </w:pPr>
                  <w:r>
                    <w:rPr>
                      <w:rFonts w:hint="eastAsia"/>
                      <w:color w:val="auto"/>
                      <w:lang w:val="en-US" w:eastAsia="zh-CN"/>
                    </w:rPr>
                    <w:t>0.5</w:t>
                  </w:r>
                </w:p>
              </w:tc>
              <w:tc>
                <w:tcPr>
                  <w:tcW w:w="518" w:type="pct"/>
                  <w:shd w:val="clear" w:color="auto" w:fill="auto"/>
                  <w:vAlign w:val="center"/>
                </w:tcPr>
                <w:p w14:paraId="4A9DF535">
                  <w:pPr>
                    <w:pStyle w:val="51"/>
                    <w:rPr>
                      <w:rFonts w:hint="default" w:eastAsia="宋体"/>
                      <w:color w:val="auto"/>
                      <w:lang w:val="en-US" w:eastAsia="zh-CN"/>
                    </w:rPr>
                  </w:pPr>
                  <w:r>
                    <w:rPr>
                      <w:rFonts w:hint="eastAsia"/>
                      <w:color w:val="auto"/>
                      <w:lang w:val="en-US" w:eastAsia="zh-CN"/>
                    </w:rPr>
                    <w:t>1.0</w:t>
                  </w:r>
                </w:p>
              </w:tc>
              <w:tc>
                <w:tcPr>
                  <w:tcW w:w="520" w:type="pct"/>
                  <w:shd w:val="clear" w:color="auto" w:fill="auto"/>
                  <w:vAlign w:val="center"/>
                </w:tcPr>
                <w:p w14:paraId="54B260BF">
                  <w:pPr>
                    <w:pStyle w:val="51"/>
                    <w:rPr>
                      <w:rFonts w:hint="default" w:eastAsia="宋体"/>
                      <w:color w:val="auto"/>
                      <w:lang w:val="en-US" w:eastAsia="zh-CN"/>
                    </w:rPr>
                  </w:pPr>
                  <w:r>
                    <w:rPr>
                      <w:rFonts w:hint="eastAsia"/>
                      <w:color w:val="auto"/>
                      <w:lang w:val="en-US" w:eastAsia="zh-CN"/>
                    </w:rPr>
                    <w:t>0.1</w:t>
                  </w:r>
                </w:p>
              </w:tc>
            </w:tr>
          </w:tbl>
          <w:p w14:paraId="3C82CCCE">
            <w:pPr>
              <w:pStyle w:val="47"/>
              <w:ind w:firstLine="482"/>
              <w:rPr>
                <w:b/>
                <w:bCs/>
                <w:color w:val="auto"/>
              </w:rPr>
            </w:pPr>
            <w:r>
              <w:rPr>
                <w:b/>
                <w:bCs/>
                <w:color w:val="auto"/>
              </w:rPr>
              <w:t>3、噪声排放标准</w:t>
            </w:r>
          </w:p>
          <w:p w14:paraId="4CB95163">
            <w:pPr>
              <w:pStyle w:val="47"/>
              <w:ind w:firstLine="480"/>
              <w:rPr>
                <w:color w:val="auto"/>
              </w:rPr>
            </w:pPr>
            <w:r>
              <w:rPr>
                <w:rFonts w:hint="eastAsia"/>
                <w:color w:val="auto"/>
              </w:rPr>
              <w:t>本项目</w:t>
            </w:r>
            <w:r>
              <w:rPr>
                <w:color w:val="auto"/>
              </w:rPr>
              <w:t>施工期间噪声执行《建筑施工场界环境噪声排放标准》</w:t>
            </w:r>
            <w:r>
              <w:rPr>
                <w:rFonts w:hint="eastAsia"/>
                <w:color w:val="auto"/>
              </w:rPr>
              <w:t>（</w:t>
            </w:r>
            <w:r>
              <w:rPr>
                <w:color w:val="auto"/>
              </w:rPr>
              <w:t>GB12523-2011</w:t>
            </w:r>
            <w:r>
              <w:rPr>
                <w:rFonts w:hint="eastAsia"/>
                <w:color w:val="auto"/>
              </w:rPr>
              <w:t>）</w:t>
            </w:r>
            <w:r>
              <w:rPr>
                <w:color w:val="auto"/>
              </w:rPr>
              <w:t>中的要求，具体见</w:t>
            </w:r>
            <w:r>
              <w:rPr>
                <w:color w:val="auto"/>
              </w:rPr>
              <w:fldChar w:fldCharType="begin"/>
            </w:r>
            <w:r>
              <w:rPr>
                <w:color w:val="auto"/>
              </w:rPr>
              <w:instrText xml:space="preserve"> REF _Ref1910 \h </w:instrText>
            </w:r>
            <w:r>
              <w:rPr>
                <w:color w:val="auto"/>
              </w:rPr>
              <w:fldChar w:fldCharType="separate"/>
            </w:r>
            <w:r>
              <w:rPr>
                <w:color w:val="auto"/>
              </w:rPr>
              <w:t>表3- 7</w:t>
            </w:r>
            <w:r>
              <w:rPr>
                <w:color w:val="auto"/>
              </w:rPr>
              <w:fldChar w:fldCharType="end"/>
            </w:r>
            <w:r>
              <w:rPr>
                <w:color w:val="auto"/>
              </w:rPr>
              <w:t>。</w:t>
            </w:r>
          </w:p>
          <w:p w14:paraId="3848E3A7">
            <w:pPr>
              <w:pStyle w:val="7"/>
              <w:rPr>
                <w:color w:val="auto"/>
              </w:rPr>
            </w:pPr>
            <w:bookmarkStart w:id="44" w:name="_Ref1910"/>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7</w:t>
            </w:r>
            <w:r>
              <w:rPr>
                <w:color w:val="auto"/>
              </w:rPr>
              <w:fldChar w:fldCharType="end"/>
            </w:r>
            <w:bookmarkEnd w:id="44"/>
            <w:r>
              <w:rPr>
                <w:rFonts w:hint="eastAsia"/>
                <w:color w:val="auto"/>
              </w:rPr>
              <w:t xml:space="preserve"> </w:t>
            </w:r>
            <w:r>
              <w:rPr>
                <w:color w:val="auto"/>
              </w:rPr>
              <w:t>建筑施工</w:t>
            </w:r>
            <w:r>
              <w:rPr>
                <w:rFonts w:hint="eastAsia"/>
                <w:color w:val="auto"/>
              </w:rPr>
              <w:t>厂界</w:t>
            </w:r>
            <w:r>
              <w:rPr>
                <w:color w:val="auto"/>
              </w:rPr>
              <w:t>环境噪声排放限值</w:t>
            </w:r>
          </w:p>
          <w:p w14:paraId="5D2EDE4E">
            <w:pPr>
              <w:spacing w:line="29" w:lineRule="exact"/>
              <w:rPr>
                <w:rFonts w:eastAsia="仿宋"/>
                <w:color w:val="auto"/>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38"/>
              <w:gridCol w:w="1647"/>
              <w:gridCol w:w="1648"/>
            </w:tblGrid>
            <w:tr w14:paraId="6855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46" w:type="pct"/>
                  <w:tcBorders>
                    <w:tl2br w:val="nil"/>
                    <w:tr2bl w:val="nil"/>
                  </w:tcBorders>
                  <w:vAlign w:val="center"/>
                </w:tcPr>
                <w:p w14:paraId="73FE5660">
                  <w:pPr>
                    <w:pStyle w:val="49"/>
                    <w:rPr>
                      <w:color w:val="auto"/>
                    </w:rPr>
                  </w:pPr>
                  <w:r>
                    <w:rPr>
                      <w:color w:val="auto"/>
                    </w:rPr>
                    <w:t>标准来源</w:t>
                  </w:r>
                </w:p>
              </w:tc>
              <w:tc>
                <w:tcPr>
                  <w:tcW w:w="976" w:type="pct"/>
                  <w:tcBorders>
                    <w:tl2br w:val="nil"/>
                    <w:tr2bl w:val="nil"/>
                  </w:tcBorders>
                  <w:vAlign w:val="center"/>
                </w:tcPr>
                <w:p w14:paraId="7012DDEA">
                  <w:pPr>
                    <w:pStyle w:val="49"/>
                    <w:rPr>
                      <w:color w:val="auto"/>
                    </w:rPr>
                  </w:pPr>
                  <w:r>
                    <w:rPr>
                      <w:color w:val="auto"/>
                    </w:rPr>
                    <w:t>昼间dB(A)</w:t>
                  </w:r>
                </w:p>
              </w:tc>
              <w:tc>
                <w:tcPr>
                  <w:tcW w:w="977" w:type="pct"/>
                  <w:tcBorders>
                    <w:tl2br w:val="nil"/>
                    <w:tr2bl w:val="nil"/>
                  </w:tcBorders>
                  <w:vAlign w:val="center"/>
                </w:tcPr>
                <w:p w14:paraId="1706C2D4">
                  <w:pPr>
                    <w:pStyle w:val="49"/>
                    <w:rPr>
                      <w:color w:val="auto"/>
                    </w:rPr>
                  </w:pPr>
                  <w:r>
                    <w:rPr>
                      <w:color w:val="auto"/>
                    </w:rPr>
                    <w:t>夜间dB(A)</w:t>
                  </w:r>
                </w:p>
              </w:tc>
            </w:tr>
            <w:tr w14:paraId="2977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46" w:type="pct"/>
                  <w:tcBorders>
                    <w:tl2br w:val="nil"/>
                    <w:tr2bl w:val="nil"/>
                  </w:tcBorders>
                  <w:vAlign w:val="center"/>
                </w:tcPr>
                <w:p w14:paraId="6B89334A">
                  <w:pPr>
                    <w:pStyle w:val="51"/>
                    <w:rPr>
                      <w:color w:val="auto"/>
                    </w:rPr>
                  </w:pPr>
                  <w:r>
                    <w:rPr>
                      <w:color w:val="auto"/>
                    </w:rPr>
                    <w:t>《建筑施工场界环境噪声排放标准》</w:t>
                  </w:r>
                  <w:r>
                    <w:rPr>
                      <w:rFonts w:hint="eastAsia"/>
                      <w:color w:val="auto"/>
                    </w:rPr>
                    <w:t>（</w:t>
                  </w:r>
                  <w:r>
                    <w:rPr>
                      <w:color w:val="auto"/>
                    </w:rPr>
                    <w:t>GB12523-2011</w:t>
                  </w:r>
                  <w:r>
                    <w:rPr>
                      <w:rFonts w:hint="eastAsia"/>
                      <w:color w:val="auto"/>
                    </w:rPr>
                    <w:t>）</w:t>
                  </w:r>
                </w:p>
              </w:tc>
              <w:tc>
                <w:tcPr>
                  <w:tcW w:w="976" w:type="pct"/>
                  <w:tcBorders>
                    <w:tl2br w:val="nil"/>
                    <w:tr2bl w:val="nil"/>
                  </w:tcBorders>
                  <w:vAlign w:val="center"/>
                </w:tcPr>
                <w:p w14:paraId="5534EE88">
                  <w:pPr>
                    <w:pStyle w:val="51"/>
                    <w:rPr>
                      <w:color w:val="auto"/>
                    </w:rPr>
                  </w:pPr>
                  <w:r>
                    <w:rPr>
                      <w:rFonts w:hint="eastAsia"/>
                      <w:color w:val="auto"/>
                    </w:rPr>
                    <w:t>70</w:t>
                  </w:r>
                </w:p>
              </w:tc>
              <w:tc>
                <w:tcPr>
                  <w:tcW w:w="977" w:type="pct"/>
                  <w:tcBorders>
                    <w:tl2br w:val="nil"/>
                    <w:tr2bl w:val="nil"/>
                  </w:tcBorders>
                  <w:vAlign w:val="center"/>
                </w:tcPr>
                <w:p w14:paraId="0E314C3F">
                  <w:pPr>
                    <w:pStyle w:val="51"/>
                    <w:rPr>
                      <w:color w:val="auto"/>
                    </w:rPr>
                  </w:pPr>
                  <w:r>
                    <w:rPr>
                      <w:color w:val="auto"/>
                    </w:rPr>
                    <w:t>55</w:t>
                  </w:r>
                </w:p>
              </w:tc>
            </w:tr>
            <w:tr w14:paraId="7DB5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000" w:type="pct"/>
                  <w:gridSpan w:val="3"/>
                  <w:tcBorders>
                    <w:tl2br w:val="nil"/>
                    <w:tr2bl w:val="nil"/>
                  </w:tcBorders>
                  <w:vAlign w:val="center"/>
                </w:tcPr>
                <w:p w14:paraId="0DD176F2">
                  <w:pPr>
                    <w:pStyle w:val="51"/>
                    <w:jc w:val="both"/>
                    <w:rPr>
                      <w:color w:val="auto"/>
                    </w:rPr>
                  </w:pPr>
                  <w:r>
                    <w:rPr>
                      <w:color w:val="auto"/>
                    </w:rPr>
                    <w:t>注：夜间噪声最大声级超过限值的幅度不得高于15dB(A)</w:t>
                  </w:r>
                </w:p>
              </w:tc>
            </w:tr>
          </w:tbl>
          <w:p w14:paraId="236967B7">
            <w:pPr>
              <w:pStyle w:val="47"/>
              <w:ind w:firstLine="480"/>
              <w:rPr>
                <w:color w:val="auto"/>
              </w:rPr>
            </w:pPr>
            <w:r>
              <w:rPr>
                <w:color w:val="auto"/>
              </w:rPr>
              <w:t>本项目营运期厂界噪声执行《工业企业厂界环境噪声排放标准》（GB12348-2008）3类排放标准。具体限值见下</w:t>
            </w:r>
            <w:r>
              <w:rPr>
                <w:color w:val="auto"/>
              </w:rPr>
              <w:fldChar w:fldCharType="begin"/>
            </w:r>
            <w:r>
              <w:rPr>
                <w:color w:val="auto"/>
              </w:rPr>
              <w:instrText xml:space="preserve"> REF _Ref6630 \h </w:instrText>
            </w:r>
            <w:r>
              <w:rPr>
                <w:color w:val="auto"/>
              </w:rPr>
              <w:fldChar w:fldCharType="separate"/>
            </w:r>
            <w:r>
              <w:rPr>
                <w:color w:val="auto"/>
              </w:rPr>
              <w:t>表3- 8</w:t>
            </w:r>
            <w:r>
              <w:rPr>
                <w:color w:val="auto"/>
              </w:rPr>
              <w:fldChar w:fldCharType="end"/>
            </w:r>
            <w:r>
              <w:rPr>
                <w:color w:val="auto"/>
              </w:rPr>
              <w:t>。</w:t>
            </w:r>
          </w:p>
          <w:p w14:paraId="20373DD0">
            <w:pPr>
              <w:pStyle w:val="7"/>
              <w:rPr>
                <w:color w:val="auto"/>
                <w:kern w:val="0"/>
                <w:szCs w:val="21"/>
              </w:rPr>
            </w:pPr>
            <w:bookmarkStart w:id="45" w:name="_Ref6630"/>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8</w:t>
            </w:r>
            <w:r>
              <w:rPr>
                <w:color w:val="auto"/>
              </w:rPr>
              <w:fldChar w:fldCharType="end"/>
            </w:r>
            <w:bookmarkEnd w:id="45"/>
            <w:r>
              <w:rPr>
                <w:color w:val="auto"/>
              </w:rPr>
              <w:t xml:space="preserve"> </w:t>
            </w:r>
            <w:r>
              <w:rPr>
                <w:rFonts w:hint="eastAsia"/>
                <w:color w:val="auto"/>
              </w:rPr>
              <w:t>项目营运期厂界环境</w:t>
            </w:r>
            <w:r>
              <w:rPr>
                <w:color w:val="auto"/>
                <w:kern w:val="0"/>
                <w:szCs w:val="21"/>
              </w:rPr>
              <w:t>噪声排放限值</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53"/>
              <w:gridCol w:w="1640"/>
              <w:gridCol w:w="1640"/>
            </w:tblGrid>
            <w:tr w14:paraId="7496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55" w:type="pct"/>
                  <w:tcBorders>
                    <w:tl2br w:val="nil"/>
                    <w:tr2bl w:val="nil"/>
                  </w:tcBorders>
                  <w:vAlign w:val="center"/>
                </w:tcPr>
                <w:p w14:paraId="363BAEC0">
                  <w:pPr>
                    <w:pStyle w:val="49"/>
                    <w:rPr>
                      <w:color w:val="auto"/>
                    </w:rPr>
                  </w:pPr>
                  <w:r>
                    <w:rPr>
                      <w:color w:val="auto"/>
                    </w:rPr>
                    <w:t>标准来源</w:t>
                  </w:r>
                </w:p>
              </w:tc>
              <w:tc>
                <w:tcPr>
                  <w:tcW w:w="972" w:type="pct"/>
                  <w:tcBorders>
                    <w:tl2br w:val="nil"/>
                    <w:tr2bl w:val="nil"/>
                  </w:tcBorders>
                  <w:vAlign w:val="center"/>
                </w:tcPr>
                <w:p w14:paraId="1D478D8A">
                  <w:pPr>
                    <w:pStyle w:val="49"/>
                    <w:rPr>
                      <w:color w:val="auto"/>
                    </w:rPr>
                  </w:pPr>
                  <w:r>
                    <w:rPr>
                      <w:color w:val="auto"/>
                    </w:rPr>
                    <w:t>昼间dB(A)</w:t>
                  </w:r>
                </w:p>
              </w:tc>
              <w:tc>
                <w:tcPr>
                  <w:tcW w:w="972" w:type="pct"/>
                  <w:tcBorders>
                    <w:tl2br w:val="nil"/>
                    <w:tr2bl w:val="nil"/>
                  </w:tcBorders>
                  <w:vAlign w:val="center"/>
                </w:tcPr>
                <w:p w14:paraId="79B213F7">
                  <w:pPr>
                    <w:pStyle w:val="49"/>
                    <w:rPr>
                      <w:color w:val="auto"/>
                    </w:rPr>
                  </w:pPr>
                  <w:r>
                    <w:rPr>
                      <w:color w:val="auto"/>
                    </w:rPr>
                    <w:t>夜间dB(A)</w:t>
                  </w:r>
                </w:p>
              </w:tc>
            </w:tr>
            <w:tr w14:paraId="7D6B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55" w:type="pct"/>
                  <w:tcBorders>
                    <w:tl2br w:val="nil"/>
                    <w:tr2bl w:val="nil"/>
                  </w:tcBorders>
                  <w:vAlign w:val="center"/>
                </w:tcPr>
                <w:p w14:paraId="2D123228">
                  <w:pPr>
                    <w:pStyle w:val="51"/>
                    <w:rPr>
                      <w:color w:val="auto"/>
                    </w:rPr>
                  </w:pPr>
                  <w:r>
                    <w:rPr>
                      <w:color w:val="auto"/>
                    </w:rPr>
                    <w:t>《工业企业厂界环境噪声排放标准》（GB12348-2008）3类排放标准</w:t>
                  </w:r>
                </w:p>
              </w:tc>
              <w:tc>
                <w:tcPr>
                  <w:tcW w:w="972" w:type="pct"/>
                  <w:tcBorders>
                    <w:tl2br w:val="nil"/>
                    <w:tr2bl w:val="nil"/>
                  </w:tcBorders>
                  <w:vAlign w:val="center"/>
                </w:tcPr>
                <w:p w14:paraId="48434D06">
                  <w:pPr>
                    <w:pStyle w:val="51"/>
                    <w:rPr>
                      <w:color w:val="auto"/>
                    </w:rPr>
                  </w:pPr>
                  <w:r>
                    <w:rPr>
                      <w:color w:val="auto"/>
                    </w:rPr>
                    <w:t>65</w:t>
                  </w:r>
                </w:p>
              </w:tc>
              <w:tc>
                <w:tcPr>
                  <w:tcW w:w="972" w:type="pct"/>
                  <w:tcBorders>
                    <w:tl2br w:val="nil"/>
                    <w:tr2bl w:val="nil"/>
                  </w:tcBorders>
                  <w:vAlign w:val="center"/>
                </w:tcPr>
                <w:p w14:paraId="298B4F67">
                  <w:pPr>
                    <w:pStyle w:val="51"/>
                    <w:rPr>
                      <w:color w:val="auto"/>
                    </w:rPr>
                  </w:pPr>
                  <w:r>
                    <w:rPr>
                      <w:color w:val="auto"/>
                    </w:rPr>
                    <w:t>55</w:t>
                  </w:r>
                </w:p>
              </w:tc>
            </w:tr>
          </w:tbl>
          <w:p w14:paraId="4972765C">
            <w:pPr>
              <w:pStyle w:val="47"/>
              <w:ind w:firstLine="482"/>
              <w:rPr>
                <w:b/>
                <w:bCs/>
                <w:color w:val="auto"/>
              </w:rPr>
            </w:pPr>
            <w:r>
              <w:rPr>
                <w:b/>
                <w:bCs/>
                <w:color w:val="auto"/>
              </w:rPr>
              <w:t>4、固废标准</w:t>
            </w:r>
          </w:p>
          <w:p w14:paraId="001FF779">
            <w:pPr>
              <w:pStyle w:val="47"/>
              <w:ind w:firstLine="480"/>
              <w:rPr>
                <w:color w:val="auto"/>
              </w:rPr>
            </w:pPr>
            <w:r>
              <w:rPr>
                <w:color w:val="auto"/>
              </w:rPr>
              <w:t>本项目一般固废贮存、处置执行《一般工业固体废物贮存和填埋污染控制标准》（GB18599-2020）的相关要求；危险废物贮存、处置执行《危险废物贮存污染控制标准》（GB18597-2023）等文件要求进行危废的暂存和处理。</w:t>
            </w:r>
          </w:p>
        </w:tc>
      </w:tr>
      <w:tr w14:paraId="13696F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tcMar>
              <w:left w:w="28" w:type="dxa"/>
              <w:right w:w="28" w:type="dxa"/>
            </w:tcMar>
            <w:vAlign w:val="center"/>
          </w:tcPr>
          <w:p w14:paraId="5DBFC829">
            <w:pPr>
              <w:jc w:val="center"/>
              <w:rPr>
                <w:color w:val="auto"/>
                <w:sz w:val="24"/>
              </w:rPr>
            </w:pPr>
            <w:r>
              <w:rPr>
                <w:color w:val="auto"/>
                <w:sz w:val="24"/>
              </w:rPr>
              <w:t>总量</w:t>
            </w:r>
          </w:p>
          <w:p w14:paraId="77DB4993">
            <w:pPr>
              <w:jc w:val="center"/>
              <w:rPr>
                <w:color w:val="auto"/>
                <w:sz w:val="24"/>
              </w:rPr>
            </w:pPr>
            <w:r>
              <w:rPr>
                <w:color w:val="auto"/>
                <w:sz w:val="24"/>
              </w:rPr>
              <w:t>控制</w:t>
            </w:r>
          </w:p>
          <w:p w14:paraId="4287D7B1">
            <w:pPr>
              <w:jc w:val="center"/>
              <w:rPr>
                <w:color w:val="auto"/>
                <w:sz w:val="24"/>
                <w:szCs w:val="24"/>
              </w:rPr>
            </w:pPr>
            <w:r>
              <w:rPr>
                <w:color w:val="auto"/>
                <w:sz w:val="24"/>
              </w:rPr>
              <w:t>指标</w:t>
            </w:r>
          </w:p>
        </w:tc>
        <w:tc>
          <w:tcPr>
            <w:tcW w:w="8659" w:type="dxa"/>
            <w:vAlign w:val="center"/>
          </w:tcPr>
          <w:p w14:paraId="4FD4A09C">
            <w:pPr>
              <w:pStyle w:val="47"/>
              <w:ind w:firstLine="482"/>
              <w:rPr>
                <w:b/>
                <w:bCs/>
                <w:color w:val="auto"/>
              </w:rPr>
            </w:pPr>
            <w:r>
              <w:rPr>
                <w:b/>
                <w:bCs/>
                <w:color w:val="auto"/>
              </w:rPr>
              <w:t>1、本项目总量控制指标</w:t>
            </w:r>
          </w:p>
          <w:p w14:paraId="0D248E22">
            <w:pPr>
              <w:pStyle w:val="47"/>
              <w:ind w:firstLine="480"/>
              <w:rPr>
                <w:color w:val="auto"/>
              </w:rPr>
            </w:pPr>
            <w:r>
              <w:rPr>
                <w:color w:val="auto"/>
              </w:rPr>
              <w:t>本项目建成运营后，污染物排放总量控制指标见</w:t>
            </w:r>
            <w:r>
              <w:rPr>
                <w:color w:val="auto"/>
              </w:rPr>
              <w:fldChar w:fldCharType="begin"/>
            </w:r>
            <w:r>
              <w:rPr>
                <w:color w:val="auto"/>
              </w:rPr>
              <w:instrText xml:space="preserve"> REF _Ref28671 \h </w:instrText>
            </w:r>
            <w:r>
              <w:rPr>
                <w:color w:val="auto"/>
              </w:rPr>
              <w:fldChar w:fldCharType="separate"/>
            </w:r>
            <w:r>
              <w:rPr>
                <w:color w:val="auto"/>
              </w:rPr>
              <w:t>表3- 9</w:t>
            </w:r>
            <w:r>
              <w:rPr>
                <w:color w:val="auto"/>
              </w:rPr>
              <w:fldChar w:fldCharType="end"/>
            </w:r>
            <w:r>
              <w:rPr>
                <w:color w:val="auto"/>
              </w:rPr>
              <w:t>。</w:t>
            </w:r>
          </w:p>
          <w:p w14:paraId="72822D3B">
            <w:pPr>
              <w:pStyle w:val="7"/>
              <w:rPr>
                <w:color w:val="auto"/>
                <w:kern w:val="0"/>
                <w:lang w:bidi="ar"/>
              </w:rPr>
            </w:pPr>
            <w:bookmarkStart w:id="46" w:name="_Ref28671"/>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9</w:t>
            </w:r>
            <w:r>
              <w:rPr>
                <w:color w:val="auto"/>
              </w:rPr>
              <w:fldChar w:fldCharType="end"/>
            </w:r>
            <w:bookmarkEnd w:id="46"/>
            <w:r>
              <w:rPr>
                <w:color w:val="auto"/>
              </w:rPr>
              <w:t xml:space="preserve"> </w:t>
            </w:r>
            <w:r>
              <w:rPr>
                <w:color w:val="auto"/>
                <w:kern w:val="0"/>
                <w:lang w:bidi="ar"/>
              </w:rPr>
              <w:t>项目建成后污染物排放总量控制指标（单位：t/a）</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2"/>
              <w:gridCol w:w="968"/>
              <w:gridCol w:w="1517"/>
              <w:gridCol w:w="1456"/>
              <w:gridCol w:w="1500"/>
              <w:gridCol w:w="1064"/>
              <w:gridCol w:w="1251"/>
            </w:tblGrid>
            <w:tr w14:paraId="1ACE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9" w:type="pct"/>
                  <w:shd w:val="clear" w:color="auto" w:fill="auto"/>
                  <w:vAlign w:val="center"/>
                </w:tcPr>
                <w:p w14:paraId="68D762F7">
                  <w:pPr>
                    <w:pStyle w:val="49"/>
                    <w:rPr>
                      <w:color w:val="auto"/>
                    </w:rPr>
                  </w:pPr>
                  <w:r>
                    <w:rPr>
                      <w:color w:val="auto"/>
                    </w:rPr>
                    <w:t>种类</w:t>
                  </w:r>
                </w:p>
              </w:tc>
              <w:tc>
                <w:tcPr>
                  <w:tcW w:w="1473" w:type="pct"/>
                  <w:gridSpan w:val="2"/>
                  <w:shd w:val="clear" w:color="auto" w:fill="auto"/>
                  <w:vAlign w:val="center"/>
                </w:tcPr>
                <w:p w14:paraId="58714CC1">
                  <w:pPr>
                    <w:pStyle w:val="49"/>
                    <w:rPr>
                      <w:color w:val="auto"/>
                    </w:rPr>
                  </w:pPr>
                  <w:r>
                    <w:rPr>
                      <w:color w:val="auto"/>
                    </w:rPr>
                    <w:t>污染物名称</w:t>
                  </w:r>
                </w:p>
              </w:tc>
              <w:tc>
                <w:tcPr>
                  <w:tcW w:w="863" w:type="pct"/>
                  <w:shd w:val="clear" w:color="auto" w:fill="auto"/>
                  <w:vAlign w:val="center"/>
                </w:tcPr>
                <w:p w14:paraId="41D223F3">
                  <w:pPr>
                    <w:pStyle w:val="49"/>
                    <w:rPr>
                      <w:color w:val="auto"/>
                    </w:rPr>
                  </w:pPr>
                  <w:r>
                    <w:rPr>
                      <w:color w:val="auto"/>
                    </w:rPr>
                    <w:t>本项目产生量（t/a）</w:t>
                  </w:r>
                </w:p>
              </w:tc>
              <w:tc>
                <w:tcPr>
                  <w:tcW w:w="889" w:type="pct"/>
                  <w:shd w:val="clear" w:color="auto" w:fill="auto"/>
                  <w:vAlign w:val="center"/>
                </w:tcPr>
                <w:p w14:paraId="224E0857">
                  <w:pPr>
                    <w:pStyle w:val="49"/>
                    <w:rPr>
                      <w:color w:val="auto"/>
                    </w:rPr>
                  </w:pPr>
                  <w:r>
                    <w:rPr>
                      <w:color w:val="auto"/>
                    </w:rPr>
                    <w:t>本项目削减量（t/a）</w:t>
                  </w:r>
                </w:p>
              </w:tc>
              <w:tc>
                <w:tcPr>
                  <w:tcW w:w="631" w:type="pct"/>
                  <w:shd w:val="clear" w:color="auto" w:fill="auto"/>
                  <w:vAlign w:val="center"/>
                </w:tcPr>
                <w:p w14:paraId="5D48B61C">
                  <w:pPr>
                    <w:pStyle w:val="49"/>
                    <w:rPr>
                      <w:color w:val="auto"/>
                    </w:rPr>
                  </w:pPr>
                  <w:r>
                    <w:rPr>
                      <w:color w:val="auto"/>
                    </w:rPr>
                    <w:t>接管量</w:t>
                  </w:r>
                </w:p>
                <w:p w14:paraId="1BCDF2DF">
                  <w:pPr>
                    <w:pStyle w:val="49"/>
                    <w:rPr>
                      <w:color w:val="auto"/>
                    </w:rPr>
                  </w:pPr>
                  <w:r>
                    <w:rPr>
                      <w:color w:val="auto"/>
                    </w:rPr>
                    <w:t>（t/a）</w:t>
                  </w:r>
                </w:p>
              </w:tc>
              <w:tc>
                <w:tcPr>
                  <w:tcW w:w="742" w:type="pct"/>
                  <w:shd w:val="clear" w:color="auto" w:fill="auto"/>
                  <w:vAlign w:val="center"/>
                </w:tcPr>
                <w:p w14:paraId="718E87D9">
                  <w:pPr>
                    <w:pStyle w:val="49"/>
                    <w:rPr>
                      <w:color w:val="auto"/>
                    </w:rPr>
                  </w:pPr>
                  <w:r>
                    <w:rPr>
                      <w:color w:val="auto"/>
                    </w:rPr>
                    <w:t>进入环境量</w:t>
                  </w:r>
                </w:p>
                <w:p w14:paraId="5BABE759">
                  <w:pPr>
                    <w:pStyle w:val="49"/>
                    <w:rPr>
                      <w:color w:val="auto"/>
                    </w:rPr>
                  </w:pPr>
                  <w:r>
                    <w:rPr>
                      <w:color w:val="auto"/>
                    </w:rPr>
                    <w:t>（t/a）</w:t>
                  </w:r>
                </w:p>
              </w:tc>
            </w:tr>
            <w:tr w14:paraId="7458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9" w:type="pct"/>
                  <w:vMerge w:val="restart"/>
                  <w:shd w:val="clear" w:color="auto" w:fill="auto"/>
                  <w:vAlign w:val="center"/>
                </w:tcPr>
                <w:p w14:paraId="1BE356B7">
                  <w:pPr>
                    <w:pStyle w:val="51"/>
                    <w:rPr>
                      <w:color w:val="auto"/>
                    </w:rPr>
                  </w:pPr>
                  <w:r>
                    <w:rPr>
                      <w:color w:val="auto"/>
                    </w:rPr>
                    <w:t>废气</w:t>
                  </w:r>
                </w:p>
              </w:tc>
              <w:tc>
                <w:tcPr>
                  <w:tcW w:w="574" w:type="pct"/>
                  <w:shd w:val="clear" w:color="auto" w:fill="auto"/>
                  <w:vAlign w:val="center"/>
                </w:tcPr>
                <w:p w14:paraId="3EB539E5">
                  <w:pPr>
                    <w:pStyle w:val="51"/>
                    <w:rPr>
                      <w:color w:val="auto"/>
                    </w:rPr>
                  </w:pPr>
                  <w:r>
                    <w:rPr>
                      <w:color w:val="auto"/>
                    </w:rPr>
                    <w:t>有组织</w:t>
                  </w:r>
                </w:p>
              </w:tc>
              <w:tc>
                <w:tcPr>
                  <w:tcW w:w="898" w:type="pct"/>
                  <w:shd w:val="clear" w:color="auto" w:fill="auto"/>
                  <w:vAlign w:val="center"/>
                </w:tcPr>
                <w:p w14:paraId="263D2867">
                  <w:pPr>
                    <w:pStyle w:val="51"/>
                    <w:bidi w:val="0"/>
                  </w:pPr>
                  <w:r>
                    <w:rPr>
                      <w:rFonts w:hint="eastAsia"/>
                    </w:rPr>
                    <w:t>非甲烷总烃</w:t>
                  </w:r>
                </w:p>
              </w:tc>
              <w:tc>
                <w:tcPr>
                  <w:tcW w:w="1456" w:type="dxa"/>
                  <w:shd w:val="clear" w:color="auto" w:fill="auto"/>
                  <w:vAlign w:val="center"/>
                </w:tcPr>
                <w:p w14:paraId="08F750A2">
                  <w:pPr>
                    <w:pStyle w:val="51"/>
                    <w:bidi w:val="0"/>
                    <w:rPr>
                      <w:rFonts w:hint="default"/>
                      <w:lang w:val="en-US" w:eastAsia="zh-CN"/>
                    </w:rPr>
                  </w:pPr>
                  <w:r>
                    <w:rPr>
                      <w:rFonts w:hint="default"/>
                      <w:lang w:val="en-US" w:eastAsia="zh-CN"/>
                    </w:rPr>
                    <w:t xml:space="preserve">7.759 </w:t>
                  </w:r>
                </w:p>
              </w:tc>
              <w:tc>
                <w:tcPr>
                  <w:tcW w:w="1500" w:type="dxa"/>
                  <w:shd w:val="clear" w:color="auto" w:fill="auto"/>
                  <w:vAlign w:val="center"/>
                </w:tcPr>
                <w:p w14:paraId="63F3CCD7">
                  <w:pPr>
                    <w:pStyle w:val="51"/>
                    <w:bidi w:val="0"/>
                    <w:rPr>
                      <w:rFonts w:hint="eastAsia"/>
                      <w:lang w:eastAsia="zh-CN"/>
                    </w:rPr>
                  </w:pPr>
                  <w:r>
                    <w:rPr>
                      <w:rFonts w:hint="default"/>
                      <w:lang w:val="en-US" w:eastAsia="zh-CN"/>
                    </w:rPr>
                    <w:t xml:space="preserve">6.983 </w:t>
                  </w:r>
                </w:p>
              </w:tc>
              <w:tc>
                <w:tcPr>
                  <w:tcW w:w="631" w:type="pct"/>
                  <w:shd w:val="clear" w:color="auto" w:fill="auto"/>
                  <w:vAlign w:val="center"/>
                </w:tcPr>
                <w:p w14:paraId="3313FD56">
                  <w:pPr>
                    <w:pStyle w:val="51"/>
                    <w:bidi w:val="0"/>
                  </w:pPr>
                  <w:r>
                    <w:t>/</w:t>
                  </w:r>
                </w:p>
              </w:tc>
              <w:tc>
                <w:tcPr>
                  <w:tcW w:w="742" w:type="pct"/>
                  <w:shd w:val="clear" w:color="auto" w:fill="auto"/>
                  <w:vAlign w:val="center"/>
                </w:tcPr>
                <w:p w14:paraId="7B3C72E7">
                  <w:pPr>
                    <w:pStyle w:val="51"/>
                    <w:rPr>
                      <w:color w:val="auto"/>
                    </w:rPr>
                  </w:pPr>
                  <w:r>
                    <w:rPr>
                      <w:rFonts w:hint="eastAsia"/>
                      <w:color w:val="auto"/>
                    </w:rPr>
                    <w:t>0.776</w:t>
                  </w:r>
                </w:p>
              </w:tc>
            </w:tr>
            <w:tr w14:paraId="793A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9" w:type="pct"/>
                  <w:vMerge w:val="continue"/>
                  <w:shd w:val="clear" w:color="auto" w:fill="auto"/>
                  <w:vAlign w:val="center"/>
                </w:tcPr>
                <w:p w14:paraId="4DB4F0E3">
                  <w:pPr>
                    <w:pStyle w:val="51"/>
                    <w:rPr>
                      <w:color w:val="auto"/>
                    </w:rPr>
                  </w:pPr>
                </w:p>
              </w:tc>
              <w:tc>
                <w:tcPr>
                  <w:tcW w:w="574" w:type="pct"/>
                  <w:shd w:val="clear" w:color="auto" w:fill="auto"/>
                  <w:vAlign w:val="center"/>
                </w:tcPr>
                <w:p w14:paraId="26D22AE3">
                  <w:pPr>
                    <w:pStyle w:val="51"/>
                    <w:rPr>
                      <w:color w:val="auto"/>
                    </w:rPr>
                  </w:pPr>
                  <w:r>
                    <w:rPr>
                      <w:color w:val="auto"/>
                    </w:rPr>
                    <w:t>无组织</w:t>
                  </w:r>
                </w:p>
              </w:tc>
              <w:tc>
                <w:tcPr>
                  <w:tcW w:w="898" w:type="pct"/>
                  <w:shd w:val="clear" w:color="auto" w:fill="auto"/>
                  <w:vAlign w:val="center"/>
                </w:tcPr>
                <w:p w14:paraId="6439B002">
                  <w:pPr>
                    <w:pStyle w:val="51"/>
                    <w:bidi w:val="0"/>
                  </w:pPr>
                  <w:r>
                    <w:rPr>
                      <w:rFonts w:hint="eastAsia"/>
                    </w:rPr>
                    <w:t>非甲烷总烃</w:t>
                  </w:r>
                </w:p>
              </w:tc>
              <w:tc>
                <w:tcPr>
                  <w:tcW w:w="863" w:type="pct"/>
                  <w:shd w:val="clear" w:color="auto" w:fill="auto"/>
                  <w:vAlign w:val="center"/>
                </w:tcPr>
                <w:p w14:paraId="4BC52DBB">
                  <w:pPr>
                    <w:pStyle w:val="51"/>
                    <w:bidi w:val="0"/>
                  </w:pPr>
                  <w:r>
                    <w:rPr>
                      <w:rFonts w:hint="eastAsia"/>
                    </w:rPr>
                    <w:t>0.408</w:t>
                  </w:r>
                </w:p>
              </w:tc>
              <w:tc>
                <w:tcPr>
                  <w:tcW w:w="889" w:type="pct"/>
                  <w:shd w:val="clear" w:color="auto" w:fill="auto"/>
                  <w:vAlign w:val="center"/>
                </w:tcPr>
                <w:p w14:paraId="0A267B3B">
                  <w:pPr>
                    <w:pStyle w:val="51"/>
                    <w:bidi w:val="0"/>
                  </w:pPr>
                  <w:r>
                    <w:t>/</w:t>
                  </w:r>
                </w:p>
              </w:tc>
              <w:tc>
                <w:tcPr>
                  <w:tcW w:w="631" w:type="pct"/>
                  <w:shd w:val="clear" w:color="auto" w:fill="auto"/>
                  <w:vAlign w:val="center"/>
                </w:tcPr>
                <w:p w14:paraId="4DF3490D">
                  <w:pPr>
                    <w:pStyle w:val="51"/>
                    <w:bidi w:val="0"/>
                  </w:pPr>
                  <w:r>
                    <w:t>/</w:t>
                  </w:r>
                </w:p>
              </w:tc>
              <w:tc>
                <w:tcPr>
                  <w:tcW w:w="742" w:type="pct"/>
                  <w:shd w:val="clear" w:color="auto" w:fill="auto"/>
                  <w:vAlign w:val="center"/>
                </w:tcPr>
                <w:p w14:paraId="543F08C6">
                  <w:pPr>
                    <w:pStyle w:val="51"/>
                    <w:rPr>
                      <w:color w:val="auto"/>
                    </w:rPr>
                  </w:pPr>
                  <w:r>
                    <w:rPr>
                      <w:rFonts w:hint="eastAsia"/>
                      <w:color w:val="auto"/>
                    </w:rPr>
                    <w:t>0.408</w:t>
                  </w:r>
                </w:p>
              </w:tc>
            </w:tr>
            <w:tr w14:paraId="23B2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9" w:type="pct"/>
                  <w:vMerge w:val="restart"/>
                  <w:shd w:val="clear" w:color="auto" w:fill="auto"/>
                  <w:vAlign w:val="center"/>
                </w:tcPr>
                <w:p w14:paraId="7DDF94FF">
                  <w:pPr>
                    <w:pStyle w:val="51"/>
                    <w:rPr>
                      <w:color w:val="auto"/>
                    </w:rPr>
                  </w:pPr>
                  <w:r>
                    <w:rPr>
                      <w:color w:val="auto"/>
                    </w:rPr>
                    <w:t>废水</w:t>
                  </w:r>
                </w:p>
              </w:tc>
              <w:tc>
                <w:tcPr>
                  <w:tcW w:w="1473" w:type="pct"/>
                  <w:gridSpan w:val="2"/>
                  <w:shd w:val="clear" w:color="auto" w:fill="auto"/>
                  <w:vAlign w:val="center"/>
                </w:tcPr>
                <w:p w14:paraId="355A172D">
                  <w:pPr>
                    <w:pStyle w:val="51"/>
                    <w:rPr>
                      <w:color w:val="auto"/>
                    </w:rPr>
                  </w:pPr>
                  <w:r>
                    <w:rPr>
                      <w:color w:val="auto"/>
                    </w:rPr>
                    <w:t>废水量</w:t>
                  </w:r>
                </w:p>
              </w:tc>
              <w:tc>
                <w:tcPr>
                  <w:tcW w:w="863" w:type="pct"/>
                  <w:shd w:val="clear" w:color="auto" w:fill="auto"/>
                  <w:vAlign w:val="center"/>
                </w:tcPr>
                <w:p w14:paraId="0DF39D5E">
                  <w:pPr>
                    <w:pStyle w:val="51"/>
                    <w:rPr>
                      <w:color w:val="auto"/>
                    </w:rPr>
                  </w:pPr>
                  <w:r>
                    <w:rPr>
                      <w:rFonts w:hint="eastAsia"/>
                      <w:color w:val="auto"/>
                    </w:rPr>
                    <w:t>2400</w:t>
                  </w:r>
                </w:p>
              </w:tc>
              <w:tc>
                <w:tcPr>
                  <w:tcW w:w="889" w:type="pct"/>
                  <w:shd w:val="clear" w:color="auto" w:fill="auto"/>
                  <w:vAlign w:val="center"/>
                </w:tcPr>
                <w:p w14:paraId="46CEC159">
                  <w:pPr>
                    <w:pStyle w:val="51"/>
                    <w:rPr>
                      <w:color w:val="auto"/>
                    </w:rPr>
                  </w:pPr>
                  <w:r>
                    <w:rPr>
                      <w:color w:val="auto"/>
                    </w:rPr>
                    <w:t>0</w:t>
                  </w:r>
                </w:p>
              </w:tc>
              <w:tc>
                <w:tcPr>
                  <w:tcW w:w="631" w:type="pct"/>
                  <w:shd w:val="clear" w:color="auto" w:fill="auto"/>
                  <w:vAlign w:val="center"/>
                </w:tcPr>
                <w:p w14:paraId="5CA34988">
                  <w:pPr>
                    <w:pStyle w:val="51"/>
                    <w:rPr>
                      <w:color w:val="auto"/>
                    </w:rPr>
                  </w:pPr>
                  <w:r>
                    <w:rPr>
                      <w:rFonts w:hint="eastAsia"/>
                      <w:color w:val="auto"/>
                    </w:rPr>
                    <w:t>2400</w:t>
                  </w:r>
                </w:p>
              </w:tc>
              <w:tc>
                <w:tcPr>
                  <w:tcW w:w="742" w:type="pct"/>
                  <w:shd w:val="clear" w:color="auto" w:fill="auto"/>
                  <w:vAlign w:val="center"/>
                </w:tcPr>
                <w:p w14:paraId="2EE9412B">
                  <w:pPr>
                    <w:pStyle w:val="51"/>
                    <w:rPr>
                      <w:color w:val="auto"/>
                    </w:rPr>
                  </w:pPr>
                  <w:r>
                    <w:rPr>
                      <w:rFonts w:hint="eastAsia"/>
                      <w:color w:val="auto"/>
                    </w:rPr>
                    <w:t>2400</w:t>
                  </w:r>
                </w:p>
              </w:tc>
            </w:tr>
            <w:tr w14:paraId="2D6C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399" w:type="pct"/>
                  <w:vMerge w:val="continue"/>
                  <w:shd w:val="clear" w:color="auto" w:fill="auto"/>
                  <w:vAlign w:val="center"/>
                </w:tcPr>
                <w:p w14:paraId="028084CA">
                  <w:pPr>
                    <w:pStyle w:val="51"/>
                    <w:rPr>
                      <w:color w:val="auto"/>
                    </w:rPr>
                  </w:pPr>
                </w:p>
              </w:tc>
              <w:tc>
                <w:tcPr>
                  <w:tcW w:w="1473" w:type="pct"/>
                  <w:gridSpan w:val="2"/>
                  <w:shd w:val="clear" w:color="auto" w:fill="auto"/>
                  <w:vAlign w:val="center"/>
                </w:tcPr>
                <w:p w14:paraId="1527E79E">
                  <w:pPr>
                    <w:pStyle w:val="51"/>
                    <w:rPr>
                      <w:color w:val="auto"/>
                    </w:rPr>
                  </w:pPr>
                  <w:r>
                    <w:rPr>
                      <w:color w:val="auto"/>
                    </w:rPr>
                    <w:t>COD</w:t>
                  </w:r>
                </w:p>
              </w:tc>
              <w:tc>
                <w:tcPr>
                  <w:tcW w:w="863" w:type="pct"/>
                  <w:shd w:val="clear" w:color="auto" w:fill="auto"/>
                  <w:vAlign w:val="center"/>
                </w:tcPr>
                <w:p w14:paraId="342D3944">
                  <w:pPr>
                    <w:pStyle w:val="51"/>
                    <w:rPr>
                      <w:color w:val="auto"/>
                    </w:rPr>
                  </w:pPr>
                  <w:r>
                    <w:rPr>
                      <w:color w:val="auto"/>
                    </w:rPr>
                    <w:t xml:space="preserve">0.8400 </w:t>
                  </w:r>
                </w:p>
              </w:tc>
              <w:tc>
                <w:tcPr>
                  <w:tcW w:w="889" w:type="pct"/>
                  <w:shd w:val="clear" w:color="auto" w:fill="auto"/>
                  <w:vAlign w:val="center"/>
                </w:tcPr>
                <w:p w14:paraId="4C810855">
                  <w:pPr>
                    <w:pStyle w:val="51"/>
                    <w:rPr>
                      <w:color w:val="auto"/>
                    </w:rPr>
                  </w:pPr>
                  <w:r>
                    <w:rPr>
                      <w:color w:val="auto"/>
                    </w:rPr>
                    <w:t xml:space="preserve">0.1680 </w:t>
                  </w:r>
                </w:p>
              </w:tc>
              <w:tc>
                <w:tcPr>
                  <w:tcW w:w="631" w:type="pct"/>
                  <w:shd w:val="clear" w:color="auto" w:fill="auto"/>
                  <w:vAlign w:val="center"/>
                </w:tcPr>
                <w:p w14:paraId="60C8AC3F">
                  <w:pPr>
                    <w:pStyle w:val="51"/>
                    <w:rPr>
                      <w:color w:val="auto"/>
                    </w:rPr>
                  </w:pPr>
                  <w:r>
                    <w:rPr>
                      <w:color w:val="auto"/>
                    </w:rPr>
                    <w:t xml:space="preserve">0.6720 </w:t>
                  </w:r>
                </w:p>
              </w:tc>
              <w:tc>
                <w:tcPr>
                  <w:tcW w:w="742" w:type="pct"/>
                  <w:shd w:val="clear" w:color="auto" w:fill="auto"/>
                  <w:vAlign w:val="center"/>
                </w:tcPr>
                <w:p w14:paraId="33970A35">
                  <w:pPr>
                    <w:pStyle w:val="51"/>
                    <w:rPr>
                      <w:color w:val="auto"/>
                    </w:rPr>
                  </w:pPr>
                  <w:r>
                    <w:rPr>
                      <w:color w:val="auto"/>
                    </w:rPr>
                    <w:t xml:space="preserve">0.1200 </w:t>
                  </w:r>
                </w:p>
              </w:tc>
            </w:tr>
            <w:tr w14:paraId="71A4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9" w:type="pct"/>
                  <w:vMerge w:val="continue"/>
                  <w:shd w:val="clear" w:color="auto" w:fill="auto"/>
                  <w:vAlign w:val="center"/>
                </w:tcPr>
                <w:p w14:paraId="5815A196">
                  <w:pPr>
                    <w:pStyle w:val="51"/>
                    <w:rPr>
                      <w:color w:val="auto"/>
                    </w:rPr>
                  </w:pPr>
                </w:p>
              </w:tc>
              <w:tc>
                <w:tcPr>
                  <w:tcW w:w="1473" w:type="pct"/>
                  <w:gridSpan w:val="2"/>
                  <w:shd w:val="clear" w:color="auto" w:fill="auto"/>
                  <w:vAlign w:val="center"/>
                </w:tcPr>
                <w:p w14:paraId="306506B7">
                  <w:pPr>
                    <w:pStyle w:val="51"/>
                    <w:rPr>
                      <w:color w:val="auto"/>
                    </w:rPr>
                  </w:pPr>
                  <w:r>
                    <w:rPr>
                      <w:color w:val="auto"/>
                    </w:rPr>
                    <w:t>SS</w:t>
                  </w:r>
                </w:p>
              </w:tc>
              <w:tc>
                <w:tcPr>
                  <w:tcW w:w="863" w:type="pct"/>
                  <w:shd w:val="clear" w:color="auto" w:fill="auto"/>
                  <w:vAlign w:val="center"/>
                </w:tcPr>
                <w:p w14:paraId="665A0EE9">
                  <w:pPr>
                    <w:pStyle w:val="51"/>
                    <w:rPr>
                      <w:color w:val="auto"/>
                    </w:rPr>
                  </w:pPr>
                  <w:r>
                    <w:rPr>
                      <w:color w:val="auto"/>
                    </w:rPr>
                    <w:t xml:space="preserve">0.4800 </w:t>
                  </w:r>
                </w:p>
              </w:tc>
              <w:tc>
                <w:tcPr>
                  <w:tcW w:w="889" w:type="pct"/>
                  <w:shd w:val="clear" w:color="auto" w:fill="auto"/>
                  <w:vAlign w:val="center"/>
                </w:tcPr>
                <w:p w14:paraId="6573157A">
                  <w:pPr>
                    <w:pStyle w:val="51"/>
                    <w:rPr>
                      <w:color w:val="auto"/>
                    </w:rPr>
                  </w:pPr>
                  <w:r>
                    <w:rPr>
                      <w:color w:val="auto"/>
                    </w:rPr>
                    <w:t xml:space="preserve">0.1200 </w:t>
                  </w:r>
                </w:p>
              </w:tc>
              <w:tc>
                <w:tcPr>
                  <w:tcW w:w="631" w:type="pct"/>
                  <w:shd w:val="clear" w:color="auto" w:fill="auto"/>
                  <w:vAlign w:val="center"/>
                </w:tcPr>
                <w:p w14:paraId="0CF5308C">
                  <w:pPr>
                    <w:pStyle w:val="51"/>
                    <w:rPr>
                      <w:color w:val="auto"/>
                    </w:rPr>
                  </w:pPr>
                  <w:r>
                    <w:rPr>
                      <w:color w:val="auto"/>
                    </w:rPr>
                    <w:t xml:space="preserve">0.3600 </w:t>
                  </w:r>
                </w:p>
              </w:tc>
              <w:tc>
                <w:tcPr>
                  <w:tcW w:w="742" w:type="pct"/>
                  <w:shd w:val="clear" w:color="auto" w:fill="auto"/>
                  <w:vAlign w:val="center"/>
                </w:tcPr>
                <w:p w14:paraId="717E5A0D">
                  <w:pPr>
                    <w:pStyle w:val="51"/>
                    <w:rPr>
                      <w:color w:val="auto"/>
                    </w:rPr>
                  </w:pPr>
                  <w:r>
                    <w:rPr>
                      <w:color w:val="auto"/>
                    </w:rPr>
                    <w:t xml:space="preserve">0.0240 </w:t>
                  </w:r>
                </w:p>
              </w:tc>
            </w:tr>
            <w:tr w14:paraId="5E9E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9" w:type="pct"/>
                  <w:vMerge w:val="continue"/>
                  <w:shd w:val="clear" w:color="auto" w:fill="auto"/>
                  <w:vAlign w:val="center"/>
                </w:tcPr>
                <w:p w14:paraId="5855B462">
                  <w:pPr>
                    <w:pStyle w:val="51"/>
                    <w:rPr>
                      <w:color w:val="auto"/>
                    </w:rPr>
                  </w:pPr>
                </w:p>
              </w:tc>
              <w:tc>
                <w:tcPr>
                  <w:tcW w:w="1473" w:type="pct"/>
                  <w:gridSpan w:val="2"/>
                  <w:shd w:val="clear" w:color="auto" w:fill="auto"/>
                  <w:vAlign w:val="center"/>
                </w:tcPr>
                <w:p w14:paraId="065EB265">
                  <w:pPr>
                    <w:pStyle w:val="51"/>
                    <w:rPr>
                      <w:color w:val="auto"/>
                    </w:rPr>
                  </w:pPr>
                  <w:r>
                    <w:rPr>
                      <w:color w:val="auto"/>
                    </w:rPr>
                    <w:t>氨氮</w:t>
                  </w:r>
                </w:p>
              </w:tc>
              <w:tc>
                <w:tcPr>
                  <w:tcW w:w="863" w:type="pct"/>
                  <w:shd w:val="clear" w:color="auto" w:fill="auto"/>
                  <w:vAlign w:val="center"/>
                </w:tcPr>
                <w:p w14:paraId="7E513A8E">
                  <w:pPr>
                    <w:pStyle w:val="51"/>
                    <w:rPr>
                      <w:color w:val="auto"/>
                    </w:rPr>
                  </w:pPr>
                  <w:r>
                    <w:rPr>
                      <w:color w:val="auto"/>
                    </w:rPr>
                    <w:t xml:space="preserve">0.0840 </w:t>
                  </w:r>
                </w:p>
              </w:tc>
              <w:tc>
                <w:tcPr>
                  <w:tcW w:w="889" w:type="pct"/>
                  <w:shd w:val="clear" w:color="auto" w:fill="auto"/>
                  <w:vAlign w:val="center"/>
                </w:tcPr>
                <w:p w14:paraId="5267E4EB">
                  <w:pPr>
                    <w:pStyle w:val="51"/>
                    <w:rPr>
                      <w:color w:val="auto"/>
                    </w:rPr>
                  </w:pPr>
                  <w:r>
                    <w:rPr>
                      <w:color w:val="auto"/>
                    </w:rPr>
                    <w:t xml:space="preserve">0 </w:t>
                  </w:r>
                </w:p>
              </w:tc>
              <w:tc>
                <w:tcPr>
                  <w:tcW w:w="631" w:type="pct"/>
                  <w:shd w:val="clear" w:color="auto" w:fill="auto"/>
                  <w:vAlign w:val="center"/>
                </w:tcPr>
                <w:p w14:paraId="3A9A10E0">
                  <w:pPr>
                    <w:pStyle w:val="51"/>
                    <w:rPr>
                      <w:color w:val="auto"/>
                    </w:rPr>
                  </w:pPr>
                  <w:r>
                    <w:rPr>
                      <w:color w:val="auto"/>
                    </w:rPr>
                    <w:t xml:space="preserve">0.0840 </w:t>
                  </w:r>
                </w:p>
              </w:tc>
              <w:tc>
                <w:tcPr>
                  <w:tcW w:w="742" w:type="pct"/>
                  <w:shd w:val="clear" w:color="auto" w:fill="auto"/>
                  <w:vAlign w:val="center"/>
                </w:tcPr>
                <w:p w14:paraId="78D3F2D4">
                  <w:pPr>
                    <w:pStyle w:val="51"/>
                    <w:rPr>
                      <w:color w:val="auto"/>
                    </w:rPr>
                  </w:pPr>
                  <w:r>
                    <w:rPr>
                      <w:color w:val="auto"/>
                    </w:rPr>
                    <w:t xml:space="preserve">0.0120 </w:t>
                  </w:r>
                </w:p>
              </w:tc>
            </w:tr>
            <w:tr w14:paraId="0AA9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 w:hRule="atLeast"/>
                <w:jc w:val="center"/>
              </w:trPr>
              <w:tc>
                <w:tcPr>
                  <w:tcW w:w="399" w:type="pct"/>
                  <w:vMerge w:val="continue"/>
                  <w:shd w:val="clear" w:color="auto" w:fill="auto"/>
                  <w:vAlign w:val="center"/>
                </w:tcPr>
                <w:p w14:paraId="46C75097">
                  <w:pPr>
                    <w:pStyle w:val="51"/>
                    <w:rPr>
                      <w:color w:val="auto"/>
                    </w:rPr>
                  </w:pPr>
                </w:p>
              </w:tc>
              <w:tc>
                <w:tcPr>
                  <w:tcW w:w="1473" w:type="pct"/>
                  <w:gridSpan w:val="2"/>
                  <w:shd w:val="clear" w:color="auto" w:fill="auto"/>
                  <w:vAlign w:val="center"/>
                </w:tcPr>
                <w:p w14:paraId="6257DB5D">
                  <w:pPr>
                    <w:pStyle w:val="51"/>
                    <w:rPr>
                      <w:color w:val="auto"/>
                    </w:rPr>
                  </w:pPr>
                  <w:r>
                    <w:rPr>
                      <w:color w:val="auto"/>
                    </w:rPr>
                    <w:t>TN</w:t>
                  </w:r>
                </w:p>
              </w:tc>
              <w:tc>
                <w:tcPr>
                  <w:tcW w:w="863" w:type="pct"/>
                  <w:shd w:val="clear" w:color="auto" w:fill="auto"/>
                  <w:vAlign w:val="center"/>
                </w:tcPr>
                <w:p w14:paraId="43B2D467">
                  <w:pPr>
                    <w:pStyle w:val="51"/>
                    <w:rPr>
                      <w:color w:val="auto"/>
                    </w:rPr>
                  </w:pPr>
                  <w:r>
                    <w:rPr>
                      <w:color w:val="auto"/>
                    </w:rPr>
                    <w:t xml:space="preserve">0.1080 </w:t>
                  </w:r>
                </w:p>
              </w:tc>
              <w:tc>
                <w:tcPr>
                  <w:tcW w:w="889" w:type="pct"/>
                  <w:shd w:val="clear" w:color="auto" w:fill="auto"/>
                  <w:vAlign w:val="center"/>
                </w:tcPr>
                <w:p w14:paraId="270AE870">
                  <w:pPr>
                    <w:pStyle w:val="51"/>
                    <w:rPr>
                      <w:color w:val="auto"/>
                    </w:rPr>
                  </w:pPr>
                  <w:r>
                    <w:rPr>
                      <w:color w:val="auto"/>
                    </w:rPr>
                    <w:t xml:space="preserve">0 </w:t>
                  </w:r>
                </w:p>
              </w:tc>
              <w:tc>
                <w:tcPr>
                  <w:tcW w:w="631" w:type="pct"/>
                  <w:shd w:val="clear" w:color="auto" w:fill="auto"/>
                  <w:vAlign w:val="center"/>
                </w:tcPr>
                <w:p w14:paraId="0DADDD96">
                  <w:pPr>
                    <w:pStyle w:val="51"/>
                    <w:rPr>
                      <w:color w:val="auto"/>
                    </w:rPr>
                  </w:pPr>
                  <w:r>
                    <w:rPr>
                      <w:color w:val="auto"/>
                    </w:rPr>
                    <w:t xml:space="preserve">0.1080 </w:t>
                  </w:r>
                </w:p>
              </w:tc>
              <w:tc>
                <w:tcPr>
                  <w:tcW w:w="742" w:type="pct"/>
                  <w:shd w:val="clear" w:color="auto" w:fill="auto"/>
                  <w:vAlign w:val="center"/>
                </w:tcPr>
                <w:p w14:paraId="0D3EBE6E">
                  <w:pPr>
                    <w:pStyle w:val="51"/>
                    <w:rPr>
                      <w:color w:val="auto"/>
                    </w:rPr>
                  </w:pPr>
                  <w:r>
                    <w:rPr>
                      <w:color w:val="auto"/>
                    </w:rPr>
                    <w:t xml:space="preserve">0.0360 </w:t>
                  </w:r>
                </w:p>
              </w:tc>
            </w:tr>
            <w:tr w14:paraId="7BE6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9" w:type="pct"/>
                  <w:vMerge w:val="continue"/>
                  <w:shd w:val="clear" w:color="auto" w:fill="auto"/>
                  <w:vAlign w:val="center"/>
                </w:tcPr>
                <w:p w14:paraId="08B9F3C6">
                  <w:pPr>
                    <w:pStyle w:val="51"/>
                    <w:rPr>
                      <w:color w:val="auto"/>
                    </w:rPr>
                  </w:pPr>
                </w:p>
              </w:tc>
              <w:tc>
                <w:tcPr>
                  <w:tcW w:w="1473" w:type="pct"/>
                  <w:gridSpan w:val="2"/>
                  <w:shd w:val="clear" w:color="auto" w:fill="auto"/>
                  <w:vAlign w:val="center"/>
                </w:tcPr>
                <w:p w14:paraId="639888EF">
                  <w:pPr>
                    <w:pStyle w:val="51"/>
                    <w:rPr>
                      <w:color w:val="auto"/>
                    </w:rPr>
                  </w:pPr>
                  <w:r>
                    <w:rPr>
                      <w:color w:val="auto"/>
                    </w:rPr>
                    <w:t>TP</w:t>
                  </w:r>
                </w:p>
              </w:tc>
              <w:tc>
                <w:tcPr>
                  <w:tcW w:w="863" w:type="pct"/>
                  <w:shd w:val="clear" w:color="auto" w:fill="auto"/>
                  <w:vAlign w:val="center"/>
                </w:tcPr>
                <w:p w14:paraId="59EE5060">
                  <w:pPr>
                    <w:pStyle w:val="51"/>
                    <w:rPr>
                      <w:color w:val="auto"/>
                    </w:rPr>
                  </w:pPr>
                  <w:r>
                    <w:rPr>
                      <w:color w:val="auto"/>
                    </w:rPr>
                    <w:t xml:space="preserve">0.0072 </w:t>
                  </w:r>
                </w:p>
              </w:tc>
              <w:tc>
                <w:tcPr>
                  <w:tcW w:w="889" w:type="pct"/>
                  <w:shd w:val="clear" w:color="auto" w:fill="auto"/>
                  <w:vAlign w:val="center"/>
                </w:tcPr>
                <w:p w14:paraId="3FE7C09B">
                  <w:pPr>
                    <w:pStyle w:val="51"/>
                    <w:rPr>
                      <w:color w:val="auto"/>
                    </w:rPr>
                  </w:pPr>
                  <w:r>
                    <w:rPr>
                      <w:color w:val="auto"/>
                    </w:rPr>
                    <w:t xml:space="preserve">0 </w:t>
                  </w:r>
                </w:p>
              </w:tc>
              <w:tc>
                <w:tcPr>
                  <w:tcW w:w="631" w:type="pct"/>
                  <w:shd w:val="clear" w:color="auto" w:fill="auto"/>
                  <w:vAlign w:val="center"/>
                </w:tcPr>
                <w:p w14:paraId="42BC59B9">
                  <w:pPr>
                    <w:pStyle w:val="51"/>
                    <w:rPr>
                      <w:color w:val="auto"/>
                    </w:rPr>
                  </w:pPr>
                  <w:r>
                    <w:rPr>
                      <w:color w:val="auto"/>
                    </w:rPr>
                    <w:t xml:space="preserve">0.0072 </w:t>
                  </w:r>
                </w:p>
              </w:tc>
              <w:tc>
                <w:tcPr>
                  <w:tcW w:w="742" w:type="pct"/>
                  <w:shd w:val="clear" w:color="auto" w:fill="auto"/>
                  <w:vAlign w:val="center"/>
                </w:tcPr>
                <w:p w14:paraId="744B7769">
                  <w:pPr>
                    <w:pStyle w:val="51"/>
                    <w:rPr>
                      <w:color w:val="auto"/>
                    </w:rPr>
                  </w:pPr>
                  <w:r>
                    <w:rPr>
                      <w:color w:val="auto"/>
                    </w:rPr>
                    <w:t xml:space="preserve">0.0012 </w:t>
                  </w:r>
                </w:p>
              </w:tc>
            </w:tr>
            <w:tr w14:paraId="280B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9" w:type="pct"/>
                  <w:vMerge w:val="restart"/>
                  <w:shd w:val="clear" w:color="auto" w:fill="auto"/>
                  <w:vAlign w:val="center"/>
                </w:tcPr>
                <w:p w14:paraId="526D3DB5">
                  <w:pPr>
                    <w:pStyle w:val="51"/>
                    <w:rPr>
                      <w:color w:val="auto"/>
                    </w:rPr>
                  </w:pPr>
                  <w:r>
                    <w:rPr>
                      <w:color w:val="auto"/>
                    </w:rPr>
                    <w:t>固废</w:t>
                  </w:r>
                </w:p>
              </w:tc>
              <w:tc>
                <w:tcPr>
                  <w:tcW w:w="574" w:type="pct"/>
                  <w:vMerge w:val="restart"/>
                  <w:shd w:val="clear" w:color="auto" w:fill="auto"/>
                  <w:vAlign w:val="center"/>
                </w:tcPr>
                <w:p w14:paraId="5A934BDC">
                  <w:pPr>
                    <w:pStyle w:val="51"/>
                    <w:rPr>
                      <w:color w:val="auto"/>
                    </w:rPr>
                  </w:pPr>
                  <w:r>
                    <w:rPr>
                      <w:color w:val="auto"/>
                    </w:rPr>
                    <w:t>一般固废</w:t>
                  </w:r>
                </w:p>
              </w:tc>
              <w:tc>
                <w:tcPr>
                  <w:tcW w:w="898" w:type="pct"/>
                  <w:shd w:val="clear" w:color="auto" w:fill="auto"/>
                  <w:vAlign w:val="center"/>
                </w:tcPr>
                <w:p w14:paraId="6E806117">
                  <w:pPr>
                    <w:pStyle w:val="51"/>
                    <w:rPr>
                      <w:color w:val="auto"/>
                    </w:rPr>
                  </w:pPr>
                  <w:r>
                    <w:rPr>
                      <w:rFonts w:hint="eastAsia"/>
                      <w:color w:val="auto"/>
                    </w:rPr>
                    <w:t>废丝</w:t>
                  </w:r>
                </w:p>
              </w:tc>
              <w:tc>
                <w:tcPr>
                  <w:tcW w:w="863" w:type="pct"/>
                  <w:shd w:val="clear" w:color="auto" w:fill="auto"/>
                  <w:vAlign w:val="center"/>
                </w:tcPr>
                <w:p w14:paraId="7BEA889A">
                  <w:pPr>
                    <w:pStyle w:val="51"/>
                    <w:rPr>
                      <w:color w:val="auto"/>
                    </w:rPr>
                  </w:pPr>
                  <w:r>
                    <w:rPr>
                      <w:rFonts w:hint="eastAsia"/>
                      <w:color w:val="auto"/>
                    </w:rPr>
                    <w:t>200</w:t>
                  </w:r>
                </w:p>
              </w:tc>
              <w:tc>
                <w:tcPr>
                  <w:tcW w:w="889" w:type="pct"/>
                  <w:shd w:val="clear" w:color="auto" w:fill="auto"/>
                  <w:vAlign w:val="center"/>
                </w:tcPr>
                <w:p w14:paraId="05E0CE5E">
                  <w:pPr>
                    <w:pStyle w:val="51"/>
                    <w:rPr>
                      <w:color w:val="auto"/>
                    </w:rPr>
                  </w:pPr>
                  <w:r>
                    <w:rPr>
                      <w:rFonts w:hint="eastAsia"/>
                      <w:color w:val="auto"/>
                    </w:rPr>
                    <w:t>200</w:t>
                  </w:r>
                </w:p>
              </w:tc>
              <w:tc>
                <w:tcPr>
                  <w:tcW w:w="631" w:type="pct"/>
                  <w:shd w:val="clear" w:color="auto" w:fill="auto"/>
                  <w:vAlign w:val="center"/>
                </w:tcPr>
                <w:p w14:paraId="25C2010A">
                  <w:pPr>
                    <w:pStyle w:val="51"/>
                    <w:rPr>
                      <w:color w:val="auto"/>
                    </w:rPr>
                  </w:pPr>
                  <w:r>
                    <w:rPr>
                      <w:rFonts w:hint="eastAsia"/>
                      <w:color w:val="auto"/>
                    </w:rPr>
                    <w:t>/</w:t>
                  </w:r>
                </w:p>
              </w:tc>
              <w:tc>
                <w:tcPr>
                  <w:tcW w:w="742" w:type="pct"/>
                  <w:shd w:val="clear" w:color="auto" w:fill="auto"/>
                  <w:vAlign w:val="center"/>
                </w:tcPr>
                <w:p w14:paraId="2D3E3925">
                  <w:pPr>
                    <w:pStyle w:val="51"/>
                    <w:rPr>
                      <w:color w:val="auto"/>
                    </w:rPr>
                  </w:pPr>
                  <w:r>
                    <w:rPr>
                      <w:rFonts w:hint="eastAsia"/>
                      <w:color w:val="auto"/>
                    </w:rPr>
                    <w:t>/</w:t>
                  </w:r>
                </w:p>
              </w:tc>
            </w:tr>
            <w:tr w14:paraId="69B5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9" w:type="pct"/>
                  <w:vMerge w:val="continue"/>
                  <w:shd w:val="clear" w:color="auto" w:fill="auto"/>
                  <w:vAlign w:val="center"/>
                </w:tcPr>
                <w:p w14:paraId="4AD82F60">
                  <w:pPr>
                    <w:pStyle w:val="51"/>
                    <w:rPr>
                      <w:color w:val="auto"/>
                    </w:rPr>
                  </w:pPr>
                </w:p>
              </w:tc>
              <w:tc>
                <w:tcPr>
                  <w:tcW w:w="574" w:type="pct"/>
                  <w:vMerge w:val="continue"/>
                  <w:shd w:val="clear" w:color="auto" w:fill="auto"/>
                  <w:vAlign w:val="center"/>
                </w:tcPr>
                <w:p w14:paraId="5C5179EE">
                  <w:pPr>
                    <w:pStyle w:val="51"/>
                    <w:rPr>
                      <w:color w:val="auto"/>
                    </w:rPr>
                  </w:pPr>
                </w:p>
              </w:tc>
              <w:tc>
                <w:tcPr>
                  <w:tcW w:w="898" w:type="pct"/>
                  <w:shd w:val="clear" w:color="auto" w:fill="auto"/>
                  <w:vAlign w:val="center"/>
                </w:tcPr>
                <w:p w14:paraId="587FCE65">
                  <w:pPr>
                    <w:pStyle w:val="51"/>
                    <w:rPr>
                      <w:color w:val="auto"/>
                    </w:rPr>
                  </w:pPr>
                  <w:r>
                    <w:rPr>
                      <w:rFonts w:hint="eastAsia"/>
                      <w:color w:val="auto"/>
                    </w:rPr>
                    <w:t>废磨毛料</w:t>
                  </w:r>
                </w:p>
              </w:tc>
              <w:tc>
                <w:tcPr>
                  <w:tcW w:w="863" w:type="pct"/>
                  <w:shd w:val="clear" w:color="auto" w:fill="auto"/>
                  <w:vAlign w:val="center"/>
                </w:tcPr>
                <w:p w14:paraId="236D00C6">
                  <w:pPr>
                    <w:pStyle w:val="51"/>
                    <w:rPr>
                      <w:color w:val="auto"/>
                    </w:rPr>
                  </w:pPr>
                  <w:r>
                    <w:rPr>
                      <w:rFonts w:hint="eastAsia"/>
                      <w:color w:val="auto"/>
                    </w:rPr>
                    <w:t>10</w:t>
                  </w:r>
                </w:p>
              </w:tc>
              <w:tc>
                <w:tcPr>
                  <w:tcW w:w="889" w:type="pct"/>
                  <w:shd w:val="clear" w:color="auto" w:fill="auto"/>
                  <w:vAlign w:val="center"/>
                </w:tcPr>
                <w:p w14:paraId="7AD6EBFE">
                  <w:pPr>
                    <w:pStyle w:val="51"/>
                    <w:rPr>
                      <w:color w:val="auto"/>
                    </w:rPr>
                  </w:pPr>
                  <w:r>
                    <w:rPr>
                      <w:rFonts w:hint="eastAsia"/>
                      <w:color w:val="auto"/>
                    </w:rPr>
                    <w:t>10</w:t>
                  </w:r>
                </w:p>
              </w:tc>
              <w:tc>
                <w:tcPr>
                  <w:tcW w:w="631" w:type="pct"/>
                  <w:shd w:val="clear" w:color="auto" w:fill="auto"/>
                  <w:vAlign w:val="center"/>
                </w:tcPr>
                <w:p w14:paraId="17F041C2">
                  <w:pPr>
                    <w:pStyle w:val="51"/>
                    <w:rPr>
                      <w:color w:val="auto"/>
                    </w:rPr>
                  </w:pPr>
                  <w:r>
                    <w:rPr>
                      <w:rFonts w:hint="eastAsia"/>
                      <w:color w:val="auto"/>
                    </w:rPr>
                    <w:t>/</w:t>
                  </w:r>
                </w:p>
              </w:tc>
              <w:tc>
                <w:tcPr>
                  <w:tcW w:w="742" w:type="pct"/>
                  <w:shd w:val="clear" w:color="auto" w:fill="auto"/>
                  <w:vAlign w:val="center"/>
                </w:tcPr>
                <w:p w14:paraId="31311D17">
                  <w:pPr>
                    <w:pStyle w:val="51"/>
                    <w:rPr>
                      <w:color w:val="auto"/>
                    </w:rPr>
                  </w:pPr>
                  <w:r>
                    <w:rPr>
                      <w:rFonts w:hint="eastAsia"/>
                      <w:color w:val="auto"/>
                    </w:rPr>
                    <w:t>/</w:t>
                  </w:r>
                </w:p>
              </w:tc>
            </w:tr>
            <w:tr w14:paraId="057A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9" w:type="pct"/>
                  <w:vMerge w:val="continue"/>
                  <w:shd w:val="clear" w:color="auto" w:fill="auto"/>
                  <w:vAlign w:val="center"/>
                </w:tcPr>
                <w:p w14:paraId="1C818361">
                  <w:pPr>
                    <w:pStyle w:val="51"/>
                    <w:rPr>
                      <w:color w:val="auto"/>
                    </w:rPr>
                  </w:pPr>
                </w:p>
              </w:tc>
              <w:tc>
                <w:tcPr>
                  <w:tcW w:w="574" w:type="pct"/>
                  <w:vMerge w:val="continue"/>
                  <w:shd w:val="clear" w:color="auto" w:fill="auto"/>
                  <w:vAlign w:val="center"/>
                </w:tcPr>
                <w:p w14:paraId="62DC5C5A">
                  <w:pPr>
                    <w:pStyle w:val="51"/>
                    <w:rPr>
                      <w:color w:val="auto"/>
                    </w:rPr>
                  </w:pPr>
                </w:p>
              </w:tc>
              <w:tc>
                <w:tcPr>
                  <w:tcW w:w="898" w:type="pct"/>
                  <w:shd w:val="clear" w:color="auto" w:fill="auto"/>
                  <w:vAlign w:val="center"/>
                </w:tcPr>
                <w:p w14:paraId="371FB6A5">
                  <w:pPr>
                    <w:pStyle w:val="51"/>
                    <w:rPr>
                      <w:color w:val="auto"/>
                    </w:rPr>
                  </w:pPr>
                  <w:r>
                    <w:rPr>
                      <w:rFonts w:hint="eastAsia"/>
                      <w:color w:val="auto"/>
                    </w:rPr>
                    <w:t>废布</w:t>
                  </w:r>
                </w:p>
              </w:tc>
              <w:tc>
                <w:tcPr>
                  <w:tcW w:w="863" w:type="pct"/>
                  <w:shd w:val="clear" w:color="auto" w:fill="auto"/>
                  <w:vAlign w:val="center"/>
                </w:tcPr>
                <w:p w14:paraId="1C403692">
                  <w:pPr>
                    <w:pStyle w:val="51"/>
                    <w:rPr>
                      <w:color w:val="auto"/>
                    </w:rPr>
                  </w:pPr>
                  <w:r>
                    <w:rPr>
                      <w:rFonts w:hint="eastAsia"/>
                      <w:color w:val="auto"/>
                    </w:rPr>
                    <w:t>20</w:t>
                  </w:r>
                </w:p>
              </w:tc>
              <w:tc>
                <w:tcPr>
                  <w:tcW w:w="889" w:type="pct"/>
                  <w:shd w:val="clear" w:color="auto" w:fill="auto"/>
                  <w:vAlign w:val="center"/>
                </w:tcPr>
                <w:p w14:paraId="59F7C26C">
                  <w:pPr>
                    <w:pStyle w:val="51"/>
                    <w:rPr>
                      <w:color w:val="auto"/>
                    </w:rPr>
                  </w:pPr>
                  <w:r>
                    <w:rPr>
                      <w:rFonts w:hint="eastAsia"/>
                      <w:color w:val="auto"/>
                    </w:rPr>
                    <w:t>20</w:t>
                  </w:r>
                </w:p>
              </w:tc>
              <w:tc>
                <w:tcPr>
                  <w:tcW w:w="631" w:type="pct"/>
                  <w:shd w:val="clear" w:color="auto" w:fill="auto"/>
                  <w:vAlign w:val="center"/>
                </w:tcPr>
                <w:p w14:paraId="331FCC29">
                  <w:pPr>
                    <w:pStyle w:val="51"/>
                    <w:rPr>
                      <w:color w:val="auto"/>
                    </w:rPr>
                  </w:pPr>
                  <w:r>
                    <w:rPr>
                      <w:rFonts w:hint="eastAsia"/>
                      <w:color w:val="auto"/>
                    </w:rPr>
                    <w:t>/</w:t>
                  </w:r>
                </w:p>
              </w:tc>
              <w:tc>
                <w:tcPr>
                  <w:tcW w:w="742" w:type="pct"/>
                  <w:shd w:val="clear" w:color="auto" w:fill="auto"/>
                  <w:vAlign w:val="center"/>
                </w:tcPr>
                <w:p w14:paraId="3B904131">
                  <w:pPr>
                    <w:pStyle w:val="51"/>
                    <w:rPr>
                      <w:color w:val="auto"/>
                    </w:rPr>
                  </w:pPr>
                  <w:r>
                    <w:rPr>
                      <w:rFonts w:hint="eastAsia"/>
                      <w:color w:val="auto"/>
                    </w:rPr>
                    <w:t>/</w:t>
                  </w:r>
                </w:p>
              </w:tc>
            </w:tr>
            <w:tr w14:paraId="2666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9" w:type="pct"/>
                  <w:vMerge w:val="continue"/>
                  <w:shd w:val="clear" w:color="auto" w:fill="auto"/>
                  <w:vAlign w:val="center"/>
                </w:tcPr>
                <w:p w14:paraId="69C9CC0B">
                  <w:pPr>
                    <w:pStyle w:val="51"/>
                    <w:rPr>
                      <w:color w:val="auto"/>
                    </w:rPr>
                  </w:pPr>
                </w:p>
              </w:tc>
              <w:tc>
                <w:tcPr>
                  <w:tcW w:w="574" w:type="pct"/>
                  <w:vMerge w:val="continue"/>
                  <w:shd w:val="clear" w:color="auto" w:fill="auto"/>
                  <w:vAlign w:val="center"/>
                </w:tcPr>
                <w:p w14:paraId="006573C0">
                  <w:pPr>
                    <w:pStyle w:val="51"/>
                    <w:rPr>
                      <w:color w:val="auto"/>
                    </w:rPr>
                  </w:pPr>
                </w:p>
              </w:tc>
              <w:tc>
                <w:tcPr>
                  <w:tcW w:w="898" w:type="pct"/>
                  <w:shd w:val="clear" w:color="auto" w:fill="auto"/>
                  <w:vAlign w:val="center"/>
                </w:tcPr>
                <w:p w14:paraId="37B19EBA">
                  <w:pPr>
                    <w:pStyle w:val="51"/>
                    <w:rPr>
                      <w:color w:val="auto"/>
                    </w:rPr>
                  </w:pPr>
                  <w:r>
                    <w:rPr>
                      <w:rFonts w:hint="eastAsia"/>
                      <w:color w:val="auto"/>
                    </w:rPr>
                    <w:t>废过滤介质</w:t>
                  </w:r>
                </w:p>
              </w:tc>
              <w:tc>
                <w:tcPr>
                  <w:tcW w:w="863" w:type="pct"/>
                  <w:shd w:val="clear" w:color="auto" w:fill="auto"/>
                  <w:vAlign w:val="center"/>
                </w:tcPr>
                <w:p w14:paraId="45E14552">
                  <w:pPr>
                    <w:pStyle w:val="51"/>
                    <w:rPr>
                      <w:color w:val="auto"/>
                    </w:rPr>
                  </w:pPr>
                  <w:r>
                    <w:rPr>
                      <w:rFonts w:hint="eastAsia"/>
                      <w:color w:val="auto"/>
                    </w:rPr>
                    <w:t>23</w:t>
                  </w:r>
                </w:p>
              </w:tc>
              <w:tc>
                <w:tcPr>
                  <w:tcW w:w="889" w:type="pct"/>
                  <w:shd w:val="clear" w:color="auto" w:fill="auto"/>
                  <w:vAlign w:val="center"/>
                </w:tcPr>
                <w:p w14:paraId="3244BB44">
                  <w:pPr>
                    <w:pStyle w:val="51"/>
                    <w:rPr>
                      <w:color w:val="auto"/>
                    </w:rPr>
                  </w:pPr>
                  <w:r>
                    <w:rPr>
                      <w:rFonts w:hint="eastAsia"/>
                      <w:color w:val="auto"/>
                    </w:rPr>
                    <w:t>23</w:t>
                  </w:r>
                </w:p>
              </w:tc>
              <w:tc>
                <w:tcPr>
                  <w:tcW w:w="631" w:type="pct"/>
                  <w:shd w:val="clear" w:color="auto" w:fill="auto"/>
                  <w:vAlign w:val="center"/>
                </w:tcPr>
                <w:p w14:paraId="2821DC2C">
                  <w:pPr>
                    <w:pStyle w:val="51"/>
                    <w:rPr>
                      <w:color w:val="auto"/>
                    </w:rPr>
                  </w:pPr>
                  <w:r>
                    <w:rPr>
                      <w:rFonts w:hint="eastAsia"/>
                      <w:color w:val="auto"/>
                    </w:rPr>
                    <w:t>/</w:t>
                  </w:r>
                </w:p>
              </w:tc>
              <w:tc>
                <w:tcPr>
                  <w:tcW w:w="742" w:type="pct"/>
                  <w:shd w:val="clear" w:color="auto" w:fill="auto"/>
                  <w:vAlign w:val="center"/>
                </w:tcPr>
                <w:p w14:paraId="5F93E069">
                  <w:pPr>
                    <w:pStyle w:val="51"/>
                    <w:rPr>
                      <w:color w:val="auto"/>
                    </w:rPr>
                  </w:pPr>
                  <w:r>
                    <w:rPr>
                      <w:rFonts w:hint="eastAsia"/>
                      <w:color w:val="auto"/>
                    </w:rPr>
                    <w:t>/</w:t>
                  </w:r>
                </w:p>
              </w:tc>
            </w:tr>
            <w:tr w14:paraId="3CC2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9" w:type="pct"/>
                  <w:vMerge w:val="continue"/>
                  <w:shd w:val="clear" w:color="auto" w:fill="auto"/>
                  <w:vAlign w:val="center"/>
                </w:tcPr>
                <w:p w14:paraId="3BE35C92">
                  <w:pPr>
                    <w:pStyle w:val="51"/>
                    <w:rPr>
                      <w:color w:val="auto"/>
                    </w:rPr>
                  </w:pPr>
                </w:p>
              </w:tc>
              <w:tc>
                <w:tcPr>
                  <w:tcW w:w="574" w:type="pct"/>
                  <w:vMerge w:val="continue"/>
                  <w:shd w:val="clear" w:color="auto" w:fill="auto"/>
                  <w:vAlign w:val="center"/>
                </w:tcPr>
                <w:p w14:paraId="7092EBB4">
                  <w:pPr>
                    <w:pStyle w:val="51"/>
                    <w:rPr>
                      <w:color w:val="auto"/>
                    </w:rPr>
                  </w:pPr>
                </w:p>
              </w:tc>
              <w:tc>
                <w:tcPr>
                  <w:tcW w:w="898" w:type="pct"/>
                  <w:shd w:val="clear" w:color="auto" w:fill="auto"/>
                  <w:vAlign w:val="center"/>
                </w:tcPr>
                <w:p w14:paraId="3FD5E57C">
                  <w:pPr>
                    <w:pStyle w:val="51"/>
                    <w:rPr>
                      <w:color w:val="auto"/>
                    </w:rPr>
                  </w:pPr>
                  <w:r>
                    <w:rPr>
                      <w:rFonts w:hint="eastAsia"/>
                      <w:color w:val="auto"/>
                    </w:rPr>
                    <w:t>废包装材料</w:t>
                  </w:r>
                </w:p>
              </w:tc>
              <w:tc>
                <w:tcPr>
                  <w:tcW w:w="863" w:type="pct"/>
                  <w:shd w:val="clear" w:color="auto" w:fill="auto"/>
                  <w:vAlign w:val="center"/>
                </w:tcPr>
                <w:p w14:paraId="7578FECF">
                  <w:pPr>
                    <w:pStyle w:val="51"/>
                    <w:rPr>
                      <w:rFonts w:hint="eastAsia" w:eastAsia="宋体"/>
                      <w:color w:val="auto"/>
                      <w:lang w:eastAsia="zh-CN"/>
                    </w:rPr>
                  </w:pPr>
                  <w:r>
                    <w:rPr>
                      <w:rFonts w:hint="eastAsia"/>
                      <w:color w:val="auto"/>
                      <w:lang w:val="en-US" w:eastAsia="zh-CN"/>
                    </w:rPr>
                    <w:t>6</w:t>
                  </w:r>
                </w:p>
              </w:tc>
              <w:tc>
                <w:tcPr>
                  <w:tcW w:w="889" w:type="pct"/>
                  <w:shd w:val="clear" w:color="auto" w:fill="auto"/>
                  <w:vAlign w:val="center"/>
                </w:tcPr>
                <w:p w14:paraId="65ADC031">
                  <w:pPr>
                    <w:pStyle w:val="51"/>
                    <w:rPr>
                      <w:rFonts w:hint="eastAsia" w:eastAsia="宋体"/>
                      <w:color w:val="auto"/>
                      <w:lang w:eastAsia="zh-CN"/>
                    </w:rPr>
                  </w:pPr>
                  <w:r>
                    <w:rPr>
                      <w:rFonts w:hint="eastAsia"/>
                      <w:color w:val="auto"/>
                      <w:lang w:val="en-US" w:eastAsia="zh-CN"/>
                    </w:rPr>
                    <w:t>6</w:t>
                  </w:r>
                </w:p>
              </w:tc>
              <w:tc>
                <w:tcPr>
                  <w:tcW w:w="631" w:type="pct"/>
                  <w:shd w:val="clear" w:color="auto" w:fill="auto"/>
                  <w:vAlign w:val="center"/>
                </w:tcPr>
                <w:p w14:paraId="6433BABA">
                  <w:pPr>
                    <w:pStyle w:val="51"/>
                    <w:rPr>
                      <w:color w:val="auto"/>
                    </w:rPr>
                  </w:pPr>
                  <w:r>
                    <w:rPr>
                      <w:rFonts w:hint="eastAsia"/>
                      <w:color w:val="auto"/>
                    </w:rPr>
                    <w:t>/</w:t>
                  </w:r>
                </w:p>
              </w:tc>
              <w:tc>
                <w:tcPr>
                  <w:tcW w:w="742" w:type="pct"/>
                  <w:shd w:val="clear" w:color="auto" w:fill="auto"/>
                  <w:vAlign w:val="center"/>
                </w:tcPr>
                <w:p w14:paraId="1B04FEA0">
                  <w:pPr>
                    <w:pStyle w:val="51"/>
                    <w:rPr>
                      <w:color w:val="auto"/>
                    </w:rPr>
                  </w:pPr>
                  <w:r>
                    <w:rPr>
                      <w:rFonts w:hint="eastAsia"/>
                      <w:color w:val="auto"/>
                    </w:rPr>
                    <w:t>/</w:t>
                  </w:r>
                </w:p>
              </w:tc>
            </w:tr>
            <w:tr w14:paraId="478E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2" w:hRule="atLeast"/>
                <w:jc w:val="center"/>
              </w:trPr>
              <w:tc>
                <w:tcPr>
                  <w:tcW w:w="399" w:type="pct"/>
                  <w:vMerge w:val="continue"/>
                  <w:shd w:val="clear" w:color="auto" w:fill="auto"/>
                  <w:vAlign w:val="center"/>
                </w:tcPr>
                <w:p w14:paraId="03438DB3">
                  <w:pPr>
                    <w:pStyle w:val="51"/>
                    <w:rPr>
                      <w:color w:val="auto"/>
                    </w:rPr>
                  </w:pPr>
                </w:p>
              </w:tc>
              <w:tc>
                <w:tcPr>
                  <w:tcW w:w="574" w:type="pct"/>
                  <w:vMerge w:val="continue"/>
                  <w:shd w:val="clear" w:color="auto" w:fill="auto"/>
                  <w:vAlign w:val="center"/>
                </w:tcPr>
                <w:p w14:paraId="3A31BBC1">
                  <w:pPr>
                    <w:pStyle w:val="51"/>
                    <w:rPr>
                      <w:color w:val="auto"/>
                    </w:rPr>
                  </w:pPr>
                </w:p>
              </w:tc>
              <w:tc>
                <w:tcPr>
                  <w:tcW w:w="898" w:type="pct"/>
                  <w:shd w:val="clear" w:color="auto" w:fill="auto"/>
                  <w:vAlign w:val="center"/>
                </w:tcPr>
                <w:p w14:paraId="557BA0BE">
                  <w:pPr>
                    <w:pStyle w:val="51"/>
                    <w:rPr>
                      <w:color w:val="auto"/>
                    </w:rPr>
                  </w:pPr>
                  <w:r>
                    <w:rPr>
                      <w:rFonts w:hint="eastAsia"/>
                      <w:color w:val="auto"/>
                    </w:rPr>
                    <w:t>生化污泥</w:t>
                  </w:r>
                </w:p>
              </w:tc>
              <w:tc>
                <w:tcPr>
                  <w:tcW w:w="863" w:type="pct"/>
                  <w:shd w:val="clear" w:color="auto" w:fill="auto"/>
                  <w:vAlign w:val="center"/>
                </w:tcPr>
                <w:p w14:paraId="440A9ACD">
                  <w:pPr>
                    <w:pStyle w:val="51"/>
                    <w:rPr>
                      <w:color w:val="auto"/>
                    </w:rPr>
                  </w:pPr>
                  <w:r>
                    <w:rPr>
                      <w:rFonts w:hint="eastAsia"/>
                      <w:color w:val="auto"/>
                    </w:rPr>
                    <w:t>472.11</w:t>
                  </w:r>
                </w:p>
              </w:tc>
              <w:tc>
                <w:tcPr>
                  <w:tcW w:w="889" w:type="pct"/>
                  <w:shd w:val="clear" w:color="auto" w:fill="auto"/>
                  <w:vAlign w:val="center"/>
                </w:tcPr>
                <w:p w14:paraId="4A4AB8BF">
                  <w:pPr>
                    <w:pStyle w:val="51"/>
                    <w:rPr>
                      <w:color w:val="auto"/>
                    </w:rPr>
                  </w:pPr>
                  <w:r>
                    <w:rPr>
                      <w:rFonts w:hint="eastAsia"/>
                      <w:color w:val="auto"/>
                    </w:rPr>
                    <w:t>472.11</w:t>
                  </w:r>
                </w:p>
              </w:tc>
              <w:tc>
                <w:tcPr>
                  <w:tcW w:w="631" w:type="pct"/>
                  <w:shd w:val="clear" w:color="auto" w:fill="auto"/>
                  <w:vAlign w:val="center"/>
                </w:tcPr>
                <w:p w14:paraId="2C22FE3C">
                  <w:pPr>
                    <w:pStyle w:val="51"/>
                    <w:rPr>
                      <w:color w:val="auto"/>
                    </w:rPr>
                  </w:pPr>
                  <w:r>
                    <w:rPr>
                      <w:rFonts w:hint="eastAsia"/>
                      <w:color w:val="auto"/>
                    </w:rPr>
                    <w:t>/</w:t>
                  </w:r>
                </w:p>
              </w:tc>
              <w:tc>
                <w:tcPr>
                  <w:tcW w:w="742" w:type="pct"/>
                  <w:shd w:val="clear" w:color="auto" w:fill="auto"/>
                  <w:vAlign w:val="center"/>
                </w:tcPr>
                <w:p w14:paraId="1C5A7E6F">
                  <w:pPr>
                    <w:pStyle w:val="51"/>
                    <w:rPr>
                      <w:color w:val="auto"/>
                    </w:rPr>
                  </w:pPr>
                  <w:r>
                    <w:rPr>
                      <w:rFonts w:hint="eastAsia"/>
                      <w:color w:val="auto"/>
                    </w:rPr>
                    <w:t>/</w:t>
                  </w:r>
                </w:p>
              </w:tc>
            </w:tr>
            <w:tr w14:paraId="2436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9" w:type="pct"/>
                  <w:vMerge w:val="continue"/>
                  <w:shd w:val="clear" w:color="auto" w:fill="auto"/>
                  <w:vAlign w:val="center"/>
                </w:tcPr>
                <w:p w14:paraId="687C207B">
                  <w:pPr>
                    <w:pStyle w:val="51"/>
                    <w:rPr>
                      <w:color w:val="auto"/>
                    </w:rPr>
                  </w:pPr>
                </w:p>
              </w:tc>
              <w:tc>
                <w:tcPr>
                  <w:tcW w:w="574" w:type="pct"/>
                  <w:vMerge w:val="restart"/>
                  <w:shd w:val="clear" w:color="auto" w:fill="auto"/>
                  <w:vAlign w:val="center"/>
                </w:tcPr>
                <w:p w14:paraId="5B829D2E">
                  <w:pPr>
                    <w:pStyle w:val="51"/>
                    <w:rPr>
                      <w:color w:val="auto"/>
                    </w:rPr>
                  </w:pPr>
                  <w:r>
                    <w:rPr>
                      <w:color w:val="auto"/>
                    </w:rPr>
                    <w:t>危险废物</w:t>
                  </w:r>
                </w:p>
              </w:tc>
              <w:tc>
                <w:tcPr>
                  <w:tcW w:w="898" w:type="pct"/>
                  <w:shd w:val="clear" w:color="auto" w:fill="auto"/>
                  <w:vAlign w:val="center"/>
                </w:tcPr>
                <w:p w14:paraId="500D5396">
                  <w:pPr>
                    <w:pStyle w:val="51"/>
                    <w:rPr>
                      <w:color w:val="auto"/>
                    </w:rPr>
                  </w:pPr>
                  <w:r>
                    <w:rPr>
                      <w:rFonts w:hint="eastAsia"/>
                      <w:color w:val="auto"/>
                    </w:rPr>
                    <w:t>物化污泥</w:t>
                  </w:r>
                </w:p>
              </w:tc>
              <w:tc>
                <w:tcPr>
                  <w:tcW w:w="863" w:type="pct"/>
                  <w:shd w:val="clear" w:color="auto" w:fill="auto"/>
                  <w:vAlign w:val="center"/>
                </w:tcPr>
                <w:p w14:paraId="63143984">
                  <w:pPr>
                    <w:pStyle w:val="51"/>
                    <w:rPr>
                      <w:rFonts w:hint="default" w:eastAsia="宋体"/>
                      <w:color w:val="auto"/>
                      <w:lang w:val="en-US" w:eastAsia="zh-CN"/>
                    </w:rPr>
                  </w:pPr>
                  <w:r>
                    <w:rPr>
                      <w:rFonts w:hint="eastAsia"/>
                      <w:color w:val="auto"/>
                      <w:lang w:val="en-US" w:eastAsia="zh-CN"/>
                    </w:rPr>
                    <w:t>45.60</w:t>
                  </w:r>
                </w:p>
              </w:tc>
              <w:tc>
                <w:tcPr>
                  <w:tcW w:w="889" w:type="pct"/>
                  <w:shd w:val="clear" w:color="auto" w:fill="auto"/>
                  <w:vAlign w:val="center"/>
                </w:tcPr>
                <w:p w14:paraId="31FDF9B1">
                  <w:pPr>
                    <w:pStyle w:val="51"/>
                    <w:rPr>
                      <w:rFonts w:hint="default" w:eastAsia="宋体"/>
                      <w:color w:val="auto"/>
                      <w:lang w:val="en-US" w:eastAsia="zh-CN"/>
                    </w:rPr>
                  </w:pPr>
                  <w:r>
                    <w:rPr>
                      <w:rFonts w:hint="eastAsia"/>
                      <w:color w:val="auto"/>
                      <w:lang w:val="en-US" w:eastAsia="zh-CN"/>
                    </w:rPr>
                    <w:t>45.60</w:t>
                  </w:r>
                </w:p>
              </w:tc>
              <w:tc>
                <w:tcPr>
                  <w:tcW w:w="631" w:type="pct"/>
                  <w:shd w:val="clear" w:color="auto" w:fill="auto"/>
                  <w:vAlign w:val="center"/>
                </w:tcPr>
                <w:p w14:paraId="58427830">
                  <w:pPr>
                    <w:pStyle w:val="51"/>
                    <w:rPr>
                      <w:color w:val="auto"/>
                    </w:rPr>
                  </w:pPr>
                  <w:r>
                    <w:rPr>
                      <w:rFonts w:hint="eastAsia"/>
                      <w:color w:val="auto"/>
                    </w:rPr>
                    <w:t>/</w:t>
                  </w:r>
                </w:p>
              </w:tc>
              <w:tc>
                <w:tcPr>
                  <w:tcW w:w="742" w:type="pct"/>
                  <w:shd w:val="clear" w:color="auto" w:fill="auto"/>
                  <w:vAlign w:val="center"/>
                </w:tcPr>
                <w:p w14:paraId="620D0FA4">
                  <w:pPr>
                    <w:pStyle w:val="51"/>
                    <w:rPr>
                      <w:color w:val="auto"/>
                    </w:rPr>
                  </w:pPr>
                  <w:r>
                    <w:rPr>
                      <w:rFonts w:hint="eastAsia"/>
                      <w:color w:val="auto"/>
                    </w:rPr>
                    <w:t>/</w:t>
                  </w:r>
                </w:p>
              </w:tc>
            </w:tr>
            <w:tr w14:paraId="004D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9" w:type="pct"/>
                  <w:vMerge w:val="continue"/>
                  <w:shd w:val="clear" w:color="auto" w:fill="auto"/>
                  <w:vAlign w:val="center"/>
                </w:tcPr>
                <w:p w14:paraId="43A67E30">
                  <w:pPr>
                    <w:pStyle w:val="51"/>
                    <w:rPr>
                      <w:color w:val="auto"/>
                    </w:rPr>
                  </w:pPr>
                </w:p>
              </w:tc>
              <w:tc>
                <w:tcPr>
                  <w:tcW w:w="574" w:type="pct"/>
                  <w:vMerge w:val="continue"/>
                  <w:shd w:val="clear" w:color="auto" w:fill="auto"/>
                  <w:vAlign w:val="center"/>
                </w:tcPr>
                <w:p w14:paraId="2E73D769">
                  <w:pPr>
                    <w:pStyle w:val="51"/>
                    <w:rPr>
                      <w:color w:val="auto"/>
                    </w:rPr>
                  </w:pPr>
                </w:p>
              </w:tc>
              <w:tc>
                <w:tcPr>
                  <w:tcW w:w="898" w:type="pct"/>
                  <w:shd w:val="clear" w:color="auto" w:fill="auto"/>
                  <w:vAlign w:val="center"/>
                </w:tcPr>
                <w:p w14:paraId="2E434DA8">
                  <w:pPr>
                    <w:pStyle w:val="51"/>
                    <w:rPr>
                      <w:color w:val="auto"/>
                    </w:rPr>
                  </w:pPr>
                  <w:r>
                    <w:rPr>
                      <w:rFonts w:hint="eastAsia"/>
                      <w:color w:val="auto"/>
                    </w:rPr>
                    <w:t>废加弹油</w:t>
                  </w:r>
                </w:p>
              </w:tc>
              <w:tc>
                <w:tcPr>
                  <w:tcW w:w="863" w:type="pct"/>
                  <w:shd w:val="clear" w:color="auto" w:fill="auto"/>
                  <w:vAlign w:val="center"/>
                </w:tcPr>
                <w:p w14:paraId="432FEBA8">
                  <w:pPr>
                    <w:pStyle w:val="51"/>
                    <w:rPr>
                      <w:rFonts w:hint="default" w:eastAsia="宋体"/>
                      <w:color w:val="auto"/>
                      <w:lang w:val="en-US" w:eastAsia="zh-CN"/>
                    </w:rPr>
                  </w:pPr>
                  <w:r>
                    <w:rPr>
                      <w:rFonts w:hint="eastAsia"/>
                      <w:color w:val="auto"/>
                      <w:lang w:val="en-US" w:eastAsia="zh-CN"/>
                    </w:rPr>
                    <w:t>6.98</w:t>
                  </w:r>
                </w:p>
              </w:tc>
              <w:tc>
                <w:tcPr>
                  <w:tcW w:w="889" w:type="pct"/>
                  <w:shd w:val="clear" w:color="auto" w:fill="auto"/>
                  <w:vAlign w:val="center"/>
                </w:tcPr>
                <w:p w14:paraId="62AB13C1">
                  <w:pPr>
                    <w:pStyle w:val="51"/>
                    <w:rPr>
                      <w:rFonts w:hint="default" w:eastAsia="宋体"/>
                      <w:color w:val="auto"/>
                      <w:lang w:val="en-US" w:eastAsia="zh-CN"/>
                    </w:rPr>
                  </w:pPr>
                  <w:r>
                    <w:rPr>
                      <w:rFonts w:hint="eastAsia"/>
                      <w:color w:val="auto"/>
                      <w:lang w:val="en-US" w:eastAsia="zh-CN"/>
                    </w:rPr>
                    <w:t>6.98</w:t>
                  </w:r>
                </w:p>
              </w:tc>
              <w:tc>
                <w:tcPr>
                  <w:tcW w:w="631" w:type="pct"/>
                  <w:shd w:val="clear" w:color="auto" w:fill="auto"/>
                  <w:vAlign w:val="center"/>
                </w:tcPr>
                <w:p w14:paraId="781AF628">
                  <w:pPr>
                    <w:pStyle w:val="51"/>
                    <w:rPr>
                      <w:color w:val="auto"/>
                    </w:rPr>
                  </w:pPr>
                  <w:r>
                    <w:rPr>
                      <w:rFonts w:hint="eastAsia"/>
                      <w:color w:val="auto"/>
                    </w:rPr>
                    <w:t>/</w:t>
                  </w:r>
                </w:p>
              </w:tc>
              <w:tc>
                <w:tcPr>
                  <w:tcW w:w="742" w:type="pct"/>
                  <w:shd w:val="clear" w:color="auto" w:fill="auto"/>
                  <w:vAlign w:val="center"/>
                </w:tcPr>
                <w:p w14:paraId="7413073A">
                  <w:pPr>
                    <w:pStyle w:val="51"/>
                    <w:rPr>
                      <w:color w:val="auto"/>
                    </w:rPr>
                  </w:pPr>
                  <w:r>
                    <w:rPr>
                      <w:rFonts w:hint="eastAsia"/>
                      <w:color w:val="auto"/>
                    </w:rPr>
                    <w:t>/</w:t>
                  </w:r>
                </w:p>
              </w:tc>
            </w:tr>
            <w:tr w14:paraId="2C0E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9" w:type="pct"/>
                  <w:vMerge w:val="continue"/>
                  <w:shd w:val="clear" w:color="auto" w:fill="auto"/>
                  <w:vAlign w:val="center"/>
                </w:tcPr>
                <w:p w14:paraId="2C7A0B84">
                  <w:pPr>
                    <w:pStyle w:val="51"/>
                    <w:rPr>
                      <w:color w:val="auto"/>
                    </w:rPr>
                  </w:pPr>
                </w:p>
              </w:tc>
              <w:tc>
                <w:tcPr>
                  <w:tcW w:w="574" w:type="pct"/>
                  <w:vMerge w:val="continue"/>
                  <w:shd w:val="clear" w:color="auto" w:fill="auto"/>
                  <w:vAlign w:val="center"/>
                </w:tcPr>
                <w:p w14:paraId="12317EB2">
                  <w:pPr>
                    <w:pStyle w:val="51"/>
                    <w:rPr>
                      <w:color w:val="auto"/>
                    </w:rPr>
                  </w:pPr>
                </w:p>
              </w:tc>
              <w:tc>
                <w:tcPr>
                  <w:tcW w:w="898" w:type="pct"/>
                  <w:shd w:val="clear" w:color="auto" w:fill="auto"/>
                  <w:vAlign w:val="center"/>
                </w:tcPr>
                <w:p w14:paraId="4BD23DDC">
                  <w:pPr>
                    <w:pStyle w:val="51"/>
                    <w:rPr>
                      <w:color w:val="auto"/>
                    </w:rPr>
                  </w:pPr>
                  <w:r>
                    <w:rPr>
                      <w:rFonts w:hint="eastAsia"/>
                      <w:color w:val="auto"/>
                    </w:rPr>
                    <w:t>废机油</w:t>
                  </w:r>
                </w:p>
              </w:tc>
              <w:tc>
                <w:tcPr>
                  <w:tcW w:w="863" w:type="pct"/>
                  <w:shd w:val="clear" w:color="auto" w:fill="auto"/>
                  <w:vAlign w:val="center"/>
                </w:tcPr>
                <w:p w14:paraId="44F81CAE">
                  <w:pPr>
                    <w:pStyle w:val="51"/>
                    <w:rPr>
                      <w:rFonts w:hint="eastAsia" w:eastAsia="宋体"/>
                      <w:color w:val="auto"/>
                      <w:lang w:val="en-US" w:eastAsia="zh-CN"/>
                    </w:rPr>
                  </w:pPr>
                  <w:r>
                    <w:rPr>
                      <w:rFonts w:hint="eastAsia"/>
                      <w:color w:val="auto"/>
                    </w:rPr>
                    <w:t>2.4</w:t>
                  </w:r>
                  <w:r>
                    <w:rPr>
                      <w:rFonts w:hint="eastAsia"/>
                      <w:color w:val="auto"/>
                      <w:lang w:val="en-US" w:eastAsia="zh-CN"/>
                    </w:rPr>
                    <w:t>0</w:t>
                  </w:r>
                </w:p>
              </w:tc>
              <w:tc>
                <w:tcPr>
                  <w:tcW w:w="889" w:type="pct"/>
                  <w:shd w:val="clear" w:color="auto" w:fill="auto"/>
                  <w:vAlign w:val="center"/>
                </w:tcPr>
                <w:p w14:paraId="6B1DFABD">
                  <w:pPr>
                    <w:pStyle w:val="51"/>
                    <w:rPr>
                      <w:rFonts w:hint="eastAsia" w:eastAsia="宋体"/>
                      <w:color w:val="auto"/>
                      <w:lang w:val="en-US" w:eastAsia="zh-CN"/>
                    </w:rPr>
                  </w:pPr>
                  <w:r>
                    <w:rPr>
                      <w:rFonts w:hint="eastAsia"/>
                      <w:color w:val="auto"/>
                    </w:rPr>
                    <w:t>2.4</w:t>
                  </w:r>
                  <w:r>
                    <w:rPr>
                      <w:rFonts w:hint="eastAsia"/>
                      <w:color w:val="auto"/>
                      <w:lang w:val="en-US" w:eastAsia="zh-CN"/>
                    </w:rPr>
                    <w:t>0</w:t>
                  </w:r>
                </w:p>
              </w:tc>
              <w:tc>
                <w:tcPr>
                  <w:tcW w:w="631" w:type="pct"/>
                  <w:shd w:val="clear" w:color="auto" w:fill="auto"/>
                  <w:vAlign w:val="center"/>
                </w:tcPr>
                <w:p w14:paraId="320AD18B">
                  <w:pPr>
                    <w:pStyle w:val="51"/>
                    <w:rPr>
                      <w:color w:val="auto"/>
                    </w:rPr>
                  </w:pPr>
                  <w:r>
                    <w:rPr>
                      <w:rFonts w:hint="eastAsia"/>
                      <w:color w:val="auto"/>
                    </w:rPr>
                    <w:t>/</w:t>
                  </w:r>
                </w:p>
              </w:tc>
              <w:tc>
                <w:tcPr>
                  <w:tcW w:w="742" w:type="pct"/>
                  <w:shd w:val="clear" w:color="auto" w:fill="auto"/>
                  <w:vAlign w:val="center"/>
                </w:tcPr>
                <w:p w14:paraId="2E7F85CD">
                  <w:pPr>
                    <w:pStyle w:val="51"/>
                    <w:rPr>
                      <w:color w:val="auto"/>
                    </w:rPr>
                  </w:pPr>
                  <w:r>
                    <w:rPr>
                      <w:rFonts w:hint="eastAsia"/>
                      <w:color w:val="auto"/>
                    </w:rPr>
                    <w:t>/</w:t>
                  </w:r>
                </w:p>
              </w:tc>
            </w:tr>
            <w:tr w14:paraId="0015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9" w:type="pct"/>
                  <w:vMerge w:val="continue"/>
                  <w:shd w:val="clear" w:color="auto" w:fill="auto"/>
                  <w:vAlign w:val="center"/>
                </w:tcPr>
                <w:p w14:paraId="38757588">
                  <w:pPr>
                    <w:pStyle w:val="51"/>
                    <w:rPr>
                      <w:color w:val="auto"/>
                    </w:rPr>
                  </w:pPr>
                </w:p>
              </w:tc>
              <w:tc>
                <w:tcPr>
                  <w:tcW w:w="574" w:type="pct"/>
                  <w:vMerge w:val="continue"/>
                  <w:shd w:val="clear" w:color="auto" w:fill="auto"/>
                  <w:vAlign w:val="center"/>
                </w:tcPr>
                <w:p w14:paraId="10D084D6">
                  <w:pPr>
                    <w:pStyle w:val="51"/>
                    <w:rPr>
                      <w:color w:val="auto"/>
                    </w:rPr>
                  </w:pPr>
                </w:p>
              </w:tc>
              <w:tc>
                <w:tcPr>
                  <w:tcW w:w="898" w:type="pct"/>
                  <w:shd w:val="clear" w:color="auto" w:fill="auto"/>
                  <w:vAlign w:val="center"/>
                </w:tcPr>
                <w:p w14:paraId="4AB0F2DD">
                  <w:pPr>
                    <w:pStyle w:val="51"/>
                    <w:rPr>
                      <w:color w:val="auto"/>
                    </w:rPr>
                  </w:pPr>
                  <w:r>
                    <w:rPr>
                      <w:rFonts w:hint="eastAsia"/>
                      <w:color w:val="auto"/>
                    </w:rPr>
                    <w:t>废机油桶</w:t>
                  </w:r>
                </w:p>
              </w:tc>
              <w:tc>
                <w:tcPr>
                  <w:tcW w:w="863" w:type="pct"/>
                  <w:shd w:val="clear" w:color="auto" w:fill="auto"/>
                  <w:vAlign w:val="center"/>
                </w:tcPr>
                <w:p w14:paraId="12F4E04D">
                  <w:pPr>
                    <w:pStyle w:val="51"/>
                    <w:rPr>
                      <w:color w:val="auto"/>
                    </w:rPr>
                  </w:pPr>
                  <w:r>
                    <w:rPr>
                      <w:rFonts w:hint="eastAsia"/>
                      <w:color w:val="auto"/>
                    </w:rPr>
                    <w:t>0.08</w:t>
                  </w:r>
                </w:p>
              </w:tc>
              <w:tc>
                <w:tcPr>
                  <w:tcW w:w="889" w:type="pct"/>
                  <w:shd w:val="clear" w:color="auto" w:fill="auto"/>
                  <w:vAlign w:val="center"/>
                </w:tcPr>
                <w:p w14:paraId="7FB67C86">
                  <w:pPr>
                    <w:pStyle w:val="51"/>
                    <w:rPr>
                      <w:color w:val="auto"/>
                    </w:rPr>
                  </w:pPr>
                  <w:r>
                    <w:rPr>
                      <w:rFonts w:hint="eastAsia"/>
                      <w:color w:val="auto"/>
                    </w:rPr>
                    <w:t>0.08</w:t>
                  </w:r>
                </w:p>
              </w:tc>
              <w:tc>
                <w:tcPr>
                  <w:tcW w:w="631" w:type="pct"/>
                  <w:shd w:val="clear" w:color="auto" w:fill="auto"/>
                  <w:vAlign w:val="center"/>
                </w:tcPr>
                <w:p w14:paraId="3AB0A074">
                  <w:pPr>
                    <w:pStyle w:val="51"/>
                    <w:rPr>
                      <w:color w:val="auto"/>
                    </w:rPr>
                  </w:pPr>
                  <w:r>
                    <w:rPr>
                      <w:rFonts w:hint="eastAsia"/>
                      <w:color w:val="auto"/>
                    </w:rPr>
                    <w:t>/</w:t>
                  </w:r>
                </w:p>
              </w:tc>
              <w:tc>
                <w:tcPr>
                  <w:tcW w:w="742" w:type="pct"/>
                  <w:shd w:val="clear" w:color="auto" w:fill="auto"/>
                  <w:vAlign w:val="center"/>
                </w:tcPr>
                <w:p w14:paraId="72F280C0">
                  <w:pPr>
                    <w:pStyle w:val="51"/>
                    <w:rPr>
                      <w:color w:val="auto"/>
                    </w:rPr>
                  </w:pPr>
                  <w:r>
                    <w:rPr>
                      <w:rFonts w:hint="eastAsia"/>
                      <w:color w:val="auto"/>
                    </w:rPr>
                    <w:t>/</w:t>
                  </w:r>
                </w:p>
              </w:tc>
            </w:tr>
            <w:tr w14:paraId="1DBE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9" w:type="pct"/>
                  <w:vMerge w:val="continue"/>
                  <w:shd w:val="clear" w:color="auto" w:fill="auto"/>
                  <w:vAlign w:val="center"/>
                </w:tcPr>
                <w:p w14:paraId="2E3D98FE">
                  <w:pPr>
                    <w:pStyle w:val="51"/>
                    <w:rPr>
                      <w:color w:val="auto"/>
                    </w:rPr>
                  </w:pPr>
                </w:p>
              </w:tc>
              <w:tc>
                <w:tcPr>
                  <w:tcW w:w="1473" w:type="pct"/>
                  <w:gridSpan w:val="2"/>
                  <w:shd w:val="clear" w:color="auto" w:fill="auto"/>
                  <w:vAlign w:val="center"/>
                </w:tcPr>
                <w:p w14:paraId="445649A2">
                  <w:pPr>
                    <w:pStyle w:val="51"/>
                    <w:rPr>
                      <w:color w:val="auto"/>
                    </w:rPr>
                  </w:pPr>
                  <w:r>
                    <w:rPr>
                      <w:color w:val="auto"/>
                    </w:rPr>
                    <w:t>生活垃圾</w:t>
                  </w:r>
                </w:p>
              </w:tc>
              <w:tc>
                <w:tcPr>
                  <w:tcW w:w="863" w:type="pct"/>
                  <w:shd w:val="clear" w:color="auto" w:fill="auto"/>
                  <w:vAlign w:val="center"/>
                </w:tcPr>
                <w:p w14:paraId="00FDE46A">
                  <w:pPr>
                    <w:pStyle w:val="51"/>
                    <w:rPr>
                      <w:color w:val="auto"/>
                    </w:rPr>
                  </w:pPr>
                  <w:r>
                    <w:rPr>
                      <w:rFonts w:hint="eastAsia"/>
                      <w:color w:val="auto"/>
                    </w:rPr>
                    <w:t>30</w:t>
                  </w:r>
                </w:p>
              </w:tc>
              <w:tc>
                <w:tcPr>
                  <w:tcW w:w="889" w:type="pct"/>
                  <w:shd w:val="clear" w:color="auto" w:fill="auto"/>
                  <w:vAlign w:val="center"/>
                </w:tcPr>
                <w:p w14:paraId="7D388C82">
                  <w:pPr>
                    <w:pStyle w:val="51"/>
                    <w:rPr>
                      <w:color w:val="auto"/>
                    </w:rPr>
                  </w:pPr>
                  <w:r>
                    <w:rPr>
                      <w:rFonts w:hint="eastAsia"/>
                      <w:color w:val="auto"/>
                    </w:rPr>
                    <w:t>30</w:t>
                  </w:r>
                </w:p>
              </w:tc>
              <w:tc>
                <w:tcPr>
                  <w:tcW w:w="631" w:type="pct"/>
                  <w:shd w:val="clear" w:color="auto" w:fill="auto"/>
                  <w:vAlign w:val="center"/>
                </w:tcPr>
                <w:p w14:paraId="4F228782">
                  <w:pPr>
                    <w:pStyle w:val="51"/>
                    <w:rPr>
                      <w:color w:val="auto"/>
                    </w:rPr>
                  </w:pPr>
                  <w:r>
                    <w:rPr>
                      <w:color w:val="auto"/>
                    </w:rPr>
                    <w:t>/</w:t>
                  </w:r>
                </w:p>
              </w:tc>
              <w:tc>
                <w:tcPr>
                  <w:tcW w:w="742" w:type="pct"/>
                  <w:shd w:val="clear" w:color="auto" w:fill="auto"/>
                  <w:vAlign w:val="center"/>
                </w:tcPr>
                <w:p w14:paraId="24D436A8">
                  <w:pPr>
                    <w:pStyle w:val="51"/>
                    <w:rPr>
                      <w:color w:val="auto"/>
                    </w:rPr>
                  </w:pPr>
                  <w:r>
                    <w:rPr>
                      <w:rFonts w:hint="eastAsia"/>
                      <w:color w:val="auto"/>
                    </w:rPr>
                    <w:t>/</w:t>
                  </w:r>
                </w:p>
              </w:tc>
            </w:tr>
          </w:tbl>
          <w:p w14:paraId="0B39CD3A">
            <w:pPr>
              <w:pStyle w:val="47"/>
              <w:ind w:firstLine="482"/>
              <w:rPr>
                <w:b/>
                <w:bCs/>
                <w:color w:val="auto"/>
              </w:rPr>
            </w:pPr>
            <w:r>
              <w:rPr>
                <w:b/>
                <w:bCs/>
                <w:color w:val="auto"/>
              </w:rPr>
              <w:t>（1）废气总量控制指标</w:t>
            </w:r>
          </w:p>
          <w:p w14:paraId="61474943">
            <w:pPr>
              <w:pStyle w:val="47"/>
              <w:ind w:firstLine="480"/>
              <w:rPr>
                <w:color w:val="auto"/>
              </w:rPr>
            </w:pPr>
            <w:r>
              <w:rPr>
                <w:color w:val="auto"/>
              </w:rPr>
              <w:t>本项目废气总量控制因子为</w:t>
            </w:r>
            <w:r>
              <w:rPr>
                <w:rFonts w:hint="eastAsia"/>
                <w:color w:val="auto"/>
              </w:rPr>
              <w:t>非甲烷总烃</w:t>
            </w:r>
            <w:r>
              <w:rPr>
                <w:color w:val="auto"/>
              </w:rPr>
              <w:t>。</w:t>
            </w:r>
          </w:p>
          <w:p w14:paraId="042E58E5">
            <w:pPr>
              <w:pStyle w:val="47"/>
              <w:ind w:firstLine="480"/>
              <w:rPr>
                <w:color w:val="auto"/>
              </w:rPr>
            </w:pPr>
            <w:r>
              <w:rPr>
                <w:color w:val="auto"/>
              </w:rPr>
              <w:t>有组织排放：</w:t>
            </w:r>
            <w:r>
              <w:rPr>
                <w:rFonts w:hint="eastAsia"/>
                <w:color w:val="auto"/>
              </w:rPr>
              <w:t>非甲烷总烃</w:t>
            </w:r>
            <w:r>
              <w:rPr>
                <w:color w:val="auto"/>
              </w:rPr>
              <w:t>≤</w:t>
            </w:r>
            <w:r>
              <w:rPr>
                <w:rFonts w:hint="eastAsia"/>
                <w:color w:val="auto"/>
              </w:rPr>
              <w:t>0.776</w:t>
            </w:r>
            <w:r>
              <w:rPr>
                <w:color w:val="auto"/>
              </w:rPr>
              <w:t>t/a。</w:t>
            </w:r>
          </w:p>
          <w:p w14:paraId="78CDBC4C">
            <w:pPr>
              <w:pStyle w:val="47"/>
              <w:ind w:firstLine="480"/>
              <w:rPr>
                <w:color w:val="auto"/>
              </w:rPr>
            </w:pPr>
            <w:r>
              <w:rPr>
                <w:color w:val="auto"/>
              </w:rPr>
              <w:t>本项目颗粒物排放总量从泗阳县总量库中平衡。</w:t>
            </w:r>
          </w:p>
          <w:p w14:paraId="1D90EFED">
            <w:pPr>
              <w:pStyle w:val="47"/>
              <w:ind w:firstLine="482"/>
              <w:rPr>
                <w:b/>
                <w:bCs/>
                <w:color w:val="auto"/>
              </w:rPr>
            </w:pPr>
            <w:r>
              <w:rPr>
                <w:b/>
                <w:bCs/>
                <w:color w:val="auto"/>
              </w:rPr>
              <w:t>（2）废水</w:t>
            </w:r>
          </w:p>
          <w:p w14:paraId="0409C1EF">
            <w:pPr>
              <w:pStyle w:val="47"/>
              <w:ind w:firstLine="480"/>
              <w:rPr>
                <w:color w:val="auto"/>
              </w:rPr>
            </w:pPr>
            <w:r>
              <w:rPr>
                <w:color w:val="auto"/>
              </w:rPr>
              <w:t>本项目废水总量控制因子为COD、SS、氨氮、TN、TP。</w:t>
            </w:r>
          </w:p>
          <w:p w14:paraId="2630F8C6">
            <w:pPr>
              <w:pStyle w:val="47"/>
              <w:ind w:firstLine="480"/>
              <w:rPr>
                <w:color w:val="auto"/>
              </w:rPr>
            </w:pPr>
            <w:r>
              <w:rPr>
                <w:color w:val="auto"/>
              </w:rPr>
              <w:t>接管考核量：废水总量≤</w:t>
            </w:r>
            <w:r>
              <w:rPr>
                <w:rFonts w:hint="eastAsia"/>
                <w:color w:val="auto"/>
              </w:rPr>
              <w:t>2400</w:t>
            </w:r>
            <w:r>
              <w:rPr>
                <w:color w:val="auto"/>
              </w:rPr>
              <w:t>t/a、COD≤</w:t>
            </w:r>
            <w:r>
              <w:rPr>
                <w:rFonts w:hint="eastAsia"/>
                <w:color w:val="auto"/>
              </w:rPr>
              <w:t>0.6720</w:t>
            </w:r>
            <w:r>
              <w:rPr>
                <w:color w:val="auto"/>
              </w:rPr>
              <w:t>t/a、SS≤</w:t>
            </w:r>
            <w:r>
              <w:rPr>
                <w:rFonts w:hint="eastAsia"/>
                <w:color w:val="auto"/>
              </w:rPr>
              <w:t>0.3600</w:t>
            </w:r>
            <w:r>
              <w:rPr>
                <w:color w:val="auto"/>
              </w:rPr>
              <w:t>t/a、氨氮≤</w:t>
            </w:r>
            <w:r>
              <w:rPr>
                <w:rFonts w:hint="eastAsia"/>
                <w:color w:val="auto"/>
              </w:rPr>
              <w:t>0.0840t</w:t>
            </w:r>
            <w:r>
              <w:rPr>
                <w:color w:val="auto"/>
              </w:rPr>
              <w:t>/a、TN≤</w:t>
            </w:r>
            <w:r>
              <w:rPr>
                <w:rFonts w:hint="eastAsia"/>
                <w:color w:val="auto"/>
              </w:rPr>
              <w:t>0.1080</w:t>
            </w:r>
            <w:r>
              <w:rPr>
                <w:color w:val="auto"/>
              </w:rPr>
              <w:t>t/a、TP≤</w:t>
            </w:r>
            <w:r>
              <w:rPr>
                <w:rFonts w:hint="eastAsia"/>
                <w:color w:val="auto"/>
              </w:rPr>
              <w:t>0.0072</w:t>
            </w:r>
            <w:r>
              <w:rPr>
                <w:color w:val="auto"/>
              </w:rPr>
              <w:t>t/a；</w:t>
            </w:r>
          </w:p>
          <w:p w14:paraId="62201F5E">
            <w:pPr>
              <w:pStyle w:val="47"/>
              <w:ind w:firstLine="480"/>
              <w:rPr>
                <w:color w:val="auto"/>
              </w:rPr>
            </w:pPr>
            <w:r>
              <w:rPr>
                <w:color w:val="auto"/>
              </w:rPr>
              <w:t>进入环境量：废水总量≤</w:t>
            </w:r>
            <w:r>
              <w:rPr>
                <w:rFonts w:hint="eastAsia"/>
                <w:color w:val="auto"/>
              </w:rPr>
              <w:t>2400</w:t>
            </w:r>
            <w:r>
              <w:rPr>
                <w:color w:val="auto"/>
              </w:rPr>
              <w:t>t/a、COD≤</w:t>
            </w:r>
            <w:r>
              <w:rPr>
                <w:rFonts w:hint="eastAsia"/>
                <w:color w:val="auto"/>
              </w:rPr>
              <w:t>0.1200</w:t>
            </w:r>
            <w:r>
              <w:rPr>
                <w:color w:val="auto"/>
              </w:rPr>
              <w:t>t/a、SS≤</w:t>
            </w:r>
            <w:r>
              <w:rPr>
                <w:rFonts w:hint="eastAsia"/>
                <w:color w:val="auto"/>
              </w:rPr>
              <w:t>0.0240</w:t>
            </w:r>
            <w:r>
              <w:rPr>
                <w:color w:val="auto"/>
              </w:rPr>
              <w:t>t/a、氨氮≤</w:t>
            </w:r>
            <w:r>
              <w:rPr>
                <w:rFonts w:hint="eastAsia"/>
                <w:color w:val="auto"/>
              </w:rPr>
              <w:t>0.0120</w:t>
            </w:r>
            <w:r>
              <w:rPr>
                <w:color w:val="auto"/>
              </w:rPr>
              <w:t>t/a、TN≤</w:t>
            </w:r>
            <w:r>
              <w:rPr>
                <w:rFonts w:hint="eastAsia"/>
                <w:color w:val="auto"/>
              </w:rPr>
              <w:t>0.0360</w:t>
            </w:r>
            <w:r>
              <w:rPr>
                <w:color w:val="auto"/>
              </w:rPr>
              <w:t>t/a、TP≤</w:t>
            </w:r>
            <w:r>
              <w:rPr>
                <w:rFonts w:hint="eastAsia"/>
                <w:color w:val="auto"/>
              </w:rPr>
              <w:t>0.0012</w:t>
            </w:r>
            <w:r>
              <w:rPr>
                <w:color w:val="auto"/>
              </w:rPr>
              <w:t>t/a。</w:t>
            </w:r>
          </w:p>
          <w:p w14:paraId="18BEC57A">
            <w:pPr>
              <w:pStyle w:val="47"/>
              <w:ind w:firstLine="482"/>
              <w:rPr>
                <w:b/>
                <w:bCs/>
                <w:color w:val="auto"/>
              </w:rPr>
            </w:pPr>
            <w:r>
              <w:rPr>
                <w:b/>
                <w:bCs/>
                <w:color w:val="auto"/>
              </w:rPr>
              <w:t>（3）固废</w:t>
            </w:r>
          </w:p>
          <w:p w14:paraId="6A23A97E">
            <w:pPr>
              <w:pStyle w:val="47"/>
              <w:ind w:firstLine="480"/>
              <w:rPr>
                <w:color w:val="auto"/>
              </w:rPr>
            </w:pPr>
            <w:r>
              <w:rPr>
                <w:color w:val="auto"/>
              </w:rPr>
              <w:t>本项目产生的所有固废均得到有效合理处置，不进入环境</w:t>
            </w:r>
          </w:p>
          <w:p w14:paraId="64733049">
            <w:pPr>
              <w:pStyle w:val="51"/>
              <w:bidi w:val="0"/>
              <w:rPr>
                <w:color w:val="auto"/>
              </w:rPr>
            </w:pPr>
          </w:p>
        </w:tc>
      </w:tr>
    </w:tbl>
    <w:p w14:paraId="338E02FF">
      <w:pPr>
        <w:pStyle w:val="47"/>
        <w:ind w:firstLine="480"/>
        <w:rPr>
          <w:color w:val="auto"/>
        </w:rPr>
        <w:sectPr>
          <w:pgSz w:w="11906" w:h="16838"/>
          <w:pgMar w:top="1701" w:right="1417" w:bottom="1701" w:left="1417" w:header="851" w:footer="851" w:gutter="0"/>
          <w:cols w:space="720" w:num="1"/>
          <w:docGrid w:linePitch="312" w:charSpace="0"/>
        </w:sectPr>
      </w:pPr>
      <w:bookmarkStart w:id="47" w:name="_Toc3460"/>
    </w:p>
    <w:p w14:paraId="0099F146">
      <w:pPr>
        <w:pStyle w:val="2"/>
        <w:spacing w:line="240" w:lineRule="auto"/>
        <w:rPr>
          <w:color w:val="auto"/>
        </w:rPr>
      </w:pPr>
      <w:bookmarkStart w:id="48" w:name="_Toc30086"/>
      <w:r>
        <w:rPr>
          <w:color w:val="auto"/>
        </w:rPr>
        <w:t>四、主要环境影响和保护措施</w:t>
      </w:r>
      <w:bookmarkEnd w:id="47"/>
      <w:bookmarkEnd w:id="48"/>
    </w:p>
    <w:tbl>
      <w:tblPr>
        <w:tblStyle w:val="15"/>
        <w:tblW w:w="95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659"/>
      </w:tblGrid>
      <w:tr w14:paraId="3274D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850" w:type="dxa"/>
            <w:tcMar>
              <w:left w:w="28" w:type="dxa"/>
              <w:right w:w="28" w:type="dxa"/>
            </w:tcMar>
            <w:vAlign w:val="center"/>
          </w:tcPr>
          <w:p w14:paraId="0B7A2304">
            <w:pPr>
              <w:jc w:val="center"/>
              <w:rPr>
                <w:color w:val="auto"/>
                <w:sz w:val="24"/>
              </w:rPr>
            </w:pPr>
            <w:r>
              <w:rPr>
                <w:color w:val="auto"/>
                <w:sz w:val="24"/>
              </w:rPr>
              <w:t>施工</w:t>
            </w:r>
          </w:p>
          <w:p w14:paraId="261A620A">
            <w:pPr>
              <w:jc w:val="center"/>
              <w:rPr>
                <w:color w:val="auto"/>
                <w:sz w:val="24"/>
              </w:rPr>
            </w:pPr>
            <w:r>
              <w:rPr>
                <w:color w:val="auto"/>
                <w:sz w:val="24"/>
              </w:rPr>
              <w:t>期环</w:t>
            </w:r>
          </w:p>
          <w:p w14:paraId="53A3CAEF">
            <w:pPr>
              <w:jc w:val="center"/>
              <w:rPr>
                <w:color w:val="auto"/>
                <w:sz w:val="24"/>
              </w:rPr>
            </w:pPr>
            <w:r>
              <w:rPr>
                <w:color w:val="auto"/>
                <w:sz w:val="24"/>
              </w:rPr>
              <w:t>境保</w:t>
            </w:r>
          </w:p>
          <w:p w14:paraId="06DC720C">
            <w:pPr>
              <w:jc w:val="center"/>
              <w:rPr>
                <w:color w:val="auto"/>
                <w:sz w:val="24"/>
              </w:rPr>
            </w:pPr>
            <w:r>
              <w:rPr>
                <w:color w:val="auto"/>
                <w:sz w:val="24"/>
              </w:rPr>
              <w:t>护措</w:t>
            </w:r>
          </w:p>
          <w:p w14:paraId="79578CE9">
            <w:pPr>
              <w:jc w:val="center"/>
              <w:rPr>
                <w:color w:val="auto"/>
              </w:rPr>
            </w:pPr>
            <w:r>
              <w:rPr>
                <w:color w:val="auto"/>
                <w:sz w:val="24"/>
              </w:rPr>
              <w:t>施</w:t>
            </w:r>
          </w:p>
        </w:tc>
        <w:tc>
          <w:tcPr>
            <w:tcW w:w="8504" w:type="dxa"/>
            <w:vAlign w:val="center"/>
          </w:tcPr>
          <w:p w14:paraId="24513E29">
            <w:pPr>
              <w:pStyle w:val="47"/>
              <w:ind w:firstLine="482"/>
              <w:rPr>
                <w:b/>
                <w:bCs/>
                <w:color w:val="auto"/>
              </w:rPr>
            </w:pPr>
            <w:r>
              <w:rPr>
                <w:b/>
                <w:bCs/>
                <w:color w:val="auto"/>
              </w:rPr>
              <w:t>1、施工期扬尘污染防治措施</w:t>
            </w:r>
          </w:p>
          <w:p w14:paraId="7AF33EFC">
            <w:pPr>
              <w:pStyle w:val="47"/>
              <w:ind w:firstLine="480"/>
              <w:rPr>
                <w:color w:val="auto"/>
              </w:rPr>
            </w:pPr>
            <w:r>
              <w:rPr>
                <w:color w:val="auto"/>
              </w:rPr>
              <w:t>扬尘污染是施工期间重要的污染因素，项目在地基开挖以及施工建设期间，不可避免地会产生一些地面扬尘，这些扬尘尽管是短期行为，但会对附近区域带来不利的影响，所以在施工期间，施工单位应负责实施下列减缓措施以防止扬尘污染：</w:t>
            </w:r>
          </w:p>
          <w:p w14:paraId="54D04024">
            <w:pPr>
              <w:pStyle w:val="47"/>
              <w:ind w:firstLine="480"/>
              <w:rPr>
                <w:color w:val="auto"/>
              </w:rPr>
            </w:pPr>
            <w:r>
              <w:rPr>
                <w:color w:val="auto"/>
              </w:rPr>
              <w:t>（1）工地周围按规范要求设置不低于1.8米的围墙或者硬质密闭围挡，围挡之间应无缝隙</w:t>
            </w:r>
            <w:r>
              <w:rPr>
                <w:rFonts w:hint="eastAsia"/>
                <w:color w:val="auto"/>
              </w:rPr>
              <w:t>。</w:t>
            </w:r>
          </w:p>
          <w:p w14:paraId="3AE91E86">
            <w:pPr>
              <w:pStyle w:val="47"/>
              <w:ind w:firstLine="480"/>
              <w:rPr>
                <w:color w:val="auto"/>
              </w:rPr>
            </w:pPr>
            <w:r>
              <w:rPr>
                <w:color w:val="auto"/>
              </w:rPr>
              <w:t>（2）对工地进出口及场内道路予以硬化，并采取冲洗、洒水等措施控制扬尘</w:t>
            </w:r>
            <w:r>
              <w:rPr>
                <w:rFonts w:hint="eastAsia"/>
                <w:color w:val="auto"/>
              </w:rPr>
              <w:t>。</w:t>
            </w:r>
          </w:p>
          <w:p w14:paraId="4EC26DD2">
            <w:pPr>
              <w:pStyle w:val="47"/>
              <w:ind w:firstLine="480"/>
              <w:rPr>
                <w:color w:val="auto"/>
              </w:rPr>
            </w:pPr>
            <w:r>
              <w:rPr>
                <w:color w:val="auto"/>
              </w:rPr>
              <w:t>（3）设置车辆清洗设施及配套的沉沙井、截水沟，对驶出工地的车辆进行冲洗</w:t>
            </w:r>
            <w:r>
              <w:rPr>
                <w:rFonts w:hint="eastAsia"/>
                <w:color w:val="auto"/>
              </w:rPr>
              <w:t>。</w:t>
            </w:r>
          </w:p>
          <w:p w14:paraId="3DAD5644">
            <w:pPr>
              <w:pStyle w:val="47"/>
              <w:ind w:firstLine="480"/>
              <w:rPr>
                <w:color w:val="auto"/>
              </w:rPr>
            </w:pPr>
            <w:r>
              <w:rPr>
                <w:color w:val="auto"/>
              </w:rPr>
              <w:t>（4）产生大量泥浆的施工，应当配备相应的泥浆池、泥浆沟，防止泥浆外流，废浆应当用密闭罐车外运</w:t>
            </w:r>
            <w:r>
              <w:rPr>
                <w:rFonts w:hint="eastAsia"/>
                <w:color w:val="auto"/>
              </w:rPr>
              <w:t>。</w:t>
            </w:r>
          </w:p>
          <w:p w14:paraId="73DE8A3B">
            <w:pPr>
              <w:pStyle w:val="47"/>
              <w:ind w:firstLine="480"/>
              <w:rPr>
                <w:color w:val="auto"/>
              </w:rPr>
            </w:pPr>
            <w:r>
              <w:rPr>
                <w:color w:val="auto"/>
              </w:rPr>
              <w:t>（5）露天堆放河沙、石粉、水泥、灰浆、灰膏等易扬撒的物料以及48小时内不能清运的建筑垃圾，设置不低于堆放物高度的密闭围栏并对堆放物品予以覆盖</w:t>
            </w:r>
            <w:r>
              <w:rPr>
                <w:rFonts w:hint="eastAsia"/>
                <w:color w:val="auto"/>
              </w:rPr>
              <w:t>。</w:t>
            </w:r>
          </w:p>
          <w:p w14:paraId="6D8F6D8D">
            <w:pPr>
              <w:pStyle w:val="47"/>
              <w:ind w:firstLine="480"/>
              <w:rPr>
                <w:color w:val="auto"/>
              </w:rPr>
            </w:pPr>
            <w:r>
              <w:rPr>
                <w:color w:val="auto"/>
              </w:rPr>
              <w:t>（6）使用预拌混凝土</w:t>
            </w:r>
            <w:r>
              <w:rPr>
                <w:rFonts w:hint="eastAsia"/>
                <w:color w:val="auto"/>
              </w:rPr>
              <w:t>。</w:t>
            </w:r>
          </w:p>
          <w:p w14:paraId="2DE232EC">
            <w:pPr>
              <w:pStyle w:val="47"/>
              <w:ind w:firstLine="480"/>
              <w:rPr>
                <w:color w:val="auto"/>
              </w:rPr>
            </w:pPr>
            <w:r>
              <w:rPr>
                <w:color w:val="auto"/>
              </w:rPr>
              <w:t>（7）禁止从3米以上高处抛撒建筑垃圾或者易扬撒的物料</w:t>
            </w:r>
            <w:r>
              <w:rPr>
                <w:rFonts w:hint="eastAsia"/>
                <w:color w:val="auto"/>
              </w:rPr>
              <w:t>。</w:t>
            </w:r>
          </w:p>
          <w:p w14:paraId="17F89459">
            <w:pPr>
              <w:pStyle w:val="47"/>
              <w:ind w:firstLine="480"/>
              <w:rPr>
                <w:color w:val="auto"/>
              </w:rPr>
            </w:pPr>
            <w:r>
              <w:rPr>
                <w:color w:val="auto"/>
              </w:rPr>
              <w:t>（8）对开挖、爆破、拆除、切割等施工作业面</w:t>
            </w:r>
            <w:r>
              <w:rPr>
                <w:rFonts w:hint="eastAsia"/>
                <w:color w:val="auto"/>
              </w:rPr>
              <w:t>（</w:t>
            </w:r>
            <w:r>
              <w:rPr>
                <w:color w:val="auto"/>
              </w:rPr>
              <w:t>点</w:t>
            </w:r>
            <w:r>
              <w:rPr>
                <w:rFonts w:hint="eastAsia"/>
                <w:color w:val="auto"/>
              </w:rPr>
              <w:t>）</w:t>
            </w:r>
            <w:r>
              <w:rPr>
                <w:color w:val="auto"/>
              </w:rPr>
              <w:t>进行封闭施工或者采取洒水、喷淋等控尘降尘措施。</w:t>
            </w:r>
          </w:p>
          <w:p w14:paraId="39CD0001">
            <w:pPr>
              <w:pStyle w:val="47"/>
              <w:ind w:firstLine="480"/>
              <w:rPr>
                <w:color w:val="auto"/>
              </w:rPr>
            </w:pPr>
            <w:r>
              <w:rPr>
                <w:color w:val="auto"/>
              </w:rPr>
              <w:t>（9）未开工或者停工的建设用地，由土地使用权人负责对裸露地面进行覆盖或者绿化；超过3个月的，应当进行绿化</w:t>
            </w:r>
            <w:r>
              <w:rPr>
                <w:rFonts w:hint="eastAsia"/>
                <w:color w:val="auto"/>
              </w:rPr>
              <w:t>。</w:t>
            </w:r>
          </w:p>
          <w:p w14:paraId="57459810">
            <w:pPr>
              <w:pStyle w:val="47"/>
              <w:ind w:firstLine="480"/>
              <w:rPr>
                <w:color w:val="auto"/>
              </w:rPr>
            </w:pPr>
            <w:r>
              <w:rPr>
                <w:color w:val="auto"/>
              </w:rPr>
              <w:t>（10）施工单位要建立制度、落实专人、安排资金，严格执行控制扬尘七项强制性规定：包括设编制控尘方案、置施工围挡、施工场地硬化、渣土密闭运输、设置车辆冲洗设施、落实湿法作业、建筑材料覆盖强制规定等，另外，还要落实预警应急措施等内容</w:t>
            </w:r>
            <w:r>
              <w:rPr>
                <w:rFonts w:hint="eastAsia"/>
                <w:color w:val="auto"/>
              </w:rPr>
              <w:t>。</w:t>
            </w:r>
          </w:p>
          <w:p w14:paraId="18D82B76">
            <w:pPr>
              <w:pStyle w:val="47"/>
              <w:ind w:firstLine="480"/>
              <w:rPr>
                <w:color w:val="auto"/>
              </w:rPr>
            </w:pPr>
            <w:r>
              <w:rPr>
                <w:color w:val="auto"/>
              </w:rPr>
              <w:t>（11）运砂石、建筑材料等时不宜装载过满，同时要采取相应的遮盖、封闭措施（如用苫布）。对不慎洒落的沙土和建筑材料，应对地面进行清理。严禁运渣车辆冒装撒漏、带泥上路、无证运输及不按规定线路行驶和倾倒。</w:t>
            </w:r>
          </w:p>
          <w:p w14:paraId="18ED324F">
            <w:pPr>
              <w:pStyle w:val="47"/>
              <w:ind w:firstLine="482"/>
              <w:rPr>
                <w:b/>
                <w:bCs/>
                <w:color w:val="auto"/>
              </w:rPr>
            </w:pPr>
            <w:r>
              <w:rPr>
                <w:b/>
                <w:bCs/>
                <w:color w:val="auto"/>
              </w:rPr>
              <w:t>2、施工期废水防治措施</w:t>
            </w:r>
          </w:p>
          <w:p w14:paraId="7D405A91">
            <w:pPr>
              <w:pStyle w:val="47"/>
              <w:ind w:firstLine="480"/>
              <w:rPr>
                <w:color w:val="auto"/>
              </w:rPr>
            </w:pPr>
            <w:r>
              <w:rPr>
                <w:color w:val="auto"/>
              </w:rPr>
              <w:t>施工期废水主要有施工生产废水和生活污水，施工单位将采取下列减缓措施，以使施工活动对水环境的影响减少到最小限度。</w:t>
            </w:r>
          </w:p>
          <w:p w14:paraId="3A5C22D9">
            <w:pPr>
              <w:pStyle w:val="47"/>
              <w:ind w:firstLine="480"/>
              <w:rPr>
                <w:color w:val="auto"/>
              </w:rPr>
            </w:pPr>
            <w:r>
              <w:rPr>
                <w:color w:val="auto"/>
              </w:rPr>
              <w:t>（1）严禁施工废水乱排、乱流。</w:t>
            </w:r>
          </w:p>
          <w:p w14:paraId="0DDD96A3">
            <w:pPr>
              <w:pStyle w:val="47"/>
              <w:ind w:firstLine="480"/>
              <w:rPr>
                <w:color w:val="auto"/>
              </w:rPr>
            </w:pPr>
            <w:r>
              <w:rPr>
                <w:color w:val="auto"/>
              </w:rPr>
              <w:t>（2）施工场地应及时清理，施工废水由于SS含量较高，可修建临时导流渠进行收集，经沉淀池沉淀后作为配料用水回用。</w:t>
            </w:r>
          </w:p>
          <w:p w14:paraId="74E2519A">
            <w:pPr>
              <w:pStyle w:val="47"/>
              <w:ind w:firstLine="480"/>
              <w:rPr>
                <w:color w:val="auto"/>
              </w:rPr>
            </w:pPr>
            <w:r>
              <w:rPr>
                <w:color w:val="auto"/>
              </w:rPr>
              <w:t>（3）对施工现场内粪便污水应修建旱厕，对食堂污水等应集中隔油处理，处理后粪渣清运至周边农田或菜园作肥料使用。</w:t>
            </w:r>
          </w:p>
          <w:p w14:paraId="74FAE390">
            <w:pPr>
              <w:pStyle w:val="47"/>
              <w:ind w:firstLine="480"/>
              <w:rPr>
                <w:color w:val="auto"/>
              </w:rPr>
            </w:pPr>
            <w:r>
              <w:rPr>
                <w:color w:val="auto"/>
              </w:rPr>
              <w:t>（4）施工单位除加强对生产废水和生活污水的排放管理外，应对员工进行基本环保知识培训，提高环保意识和责任。</w:t>
            </w:r>
          </w:p>
          <w:p w14:paraId="4AD96A77">
            <w:pPr>
              <w:pStyle w:val="47"/>
              <w:ind w:firstLine="482"/>
              <w:rPr>
                <w:b/>
                <w:bCs/>
                <w:color w:val="auto"/>
              </w:rPr>
            </w:pPr>
            <w:r>
              <w:rPr>
                <w:b/>
                <w:bCs/>
                <w:color w:val="auto"/>
              </w:rPr>
              <w:t>3、施工期固体废物防治措施</w:t>
            </w:r>
          </w:p>
          <w:p w14:paraId="0D753B06">
            <w:pPr>
              <w:pStyle w:val="47"/>
              <w:ind w:firstLine="480"/>
              <w:rPr>
                <w:color w:val="auto"/>
              </w:rPr>
            </w:pPr>
            <w:r>
              <w:rPr>
                <w:color w:val="auto"/>
              </w:rPr>
              <w:t>项目施工期固体废物清运过程中需采取的主要措施如下：</w:t>
            </w:r>
          </w:p>
          <w:p w14:paraId="2D798474">
            <w:pPr>
              <w:pStyle w:val="47"/>
              <w:ind w:firstLine="480"/>
              <w:rPr>
                <w:color w:val="auto"/>
              </w:rPr>
            </w:pPr>
            <w:r>
              <w:rPr>
                <w:color w:val="auto"/>
              </w:rPr>
              <w:t>（1）施工期间必须保持现场周边环境整洁，所产生的废弃物必须日产日清，工程竣工后必须做到工完场净。</w:t>
            </w:r>
          </w:p>
          <w:p w14:paraId="66B93841">
            <w:pPr>
              <w:pStyle w:val="47"/>
              <w:ind w:firstLine="480"/>
              <w:rPr>
                <w:color w:val="auto"/>
              </w:rPr>
            </w:pPr>
            <w:r>
              <w:rPr>
                <w:color w:val="auto"/>
              </w:rPr>
              <w:t>（2）各建筑施工工地进出口必须铺设水泥硬底道路，设置车辆冲洗槽和配置高压冲洗设备。</w:t>
            </w:r>
          </w:p>
          <w:p w14:paraId="4FD36078">
            <w:pPr>
              <w:pStyle w:val="47"/>
              <w:ind w:firstLine="480"/>
              <w:rPr>
                <w:color w:val="auto"/>
              </w:rPr>
            </w:pPr>
            <w:r>
              <w:rPr>
                <w:color w:val="auto"/>
              </w:rPr>
              <w:t>（3）各施工工地必须悬挂卫生责任牌。甲方、乙方都必须明确卫生责任人、责任区域、责任内容，并予以公示。</w:t>
            </w:r>
          </w:p>
          <w:p w14:paraId="76B801F1">
            <w:pPr>
              <w:pStyle w:val="47"/>
              <w:ind w:firstLine="480"/>
              <w:rPr>
                <w:color w:val="auto"/>
              </w:rPr>
            </w:pPr>
            <w:r>
              <w:rPr>
                <w:color w:val="auto"/>
              </w:rPr>
              <w:t>（4）各施工工地必须配备与建设规模相适应的专职保洁人员和必备的清洁工具，全面负责施工工地进出口道路的保洁、运输线路的全程保洁工作。</w:t>
            </w:r>
          </w:p>
          <w:p w14:paraId="45C1746D">
            <w:pPr>
              <w:pStyle w:val="47"/>
              <w:ind w:firstLine="480"/>
              <w:rPr>
                <w:color w:val="auto"/>
              </w:rPr>
            </w:pPr>
            <w:r>
              <w:rPr>
                <w:color w:val="auto"/>
              </w:rPr>
              <w:t>（5）对未落实以上管理规定的施工工地，一律不予办理施工渣土排放和准运手续。</w:t>
            </w:r>
          </w:p>
          <w:p w14:paraId="515D2C13">
            <w:pPr>
              <w:pStyle w:val="47"/>
              <w:ind w:firstLine="480"/>
              <w:rPr>
                <w:color w:val="auto"/>
              </w:rPr>
            </w:pPr>
            <w:r>
              <w:rPr>
                <w:color w:val="auto"/>
              </w:rPr>
              <w:t>另外，应与环卫部门</w:t>
            </w:r>
            <w:r>
              <w:rPr>
                <w:rFonts w:hint="eastAsia"/>
                <w:color w:val="auto"/>
              </w:rPr>
              <w:t>签订</w:t>
            </w:r>
            <w:r>
              <w:rPr>
                <w:color w:val="auto"/>
              </w:rPr>
              <w:t>卫生责任状，共同核定清渣土数量，领取施工渣土清运许可证。清运渣土单位应严格按环卫和公安部门确定的路线行驶；运送弃土应使用不漏水的翻斗车，渣土不得沿途漏散、飞扬，清运车辆进出施工现场不得带泥污染路面；施工垃圾应分类收集处理，对有利用价值的</w:t>
            </w:r>
            <w:r>
              <w:rPr>
                <w:rFonts w:hint="eastAsia"/>
                <w:color w:val="auto"/>
              </w:rPr>
              <w:t>应尽可能地</w:t>
            </w:r>
            <w:r>
              <w:rPr>
                <w:color w:val="auto"/>
              </w:rPr>
              <w:t>综合利用，无利用价值的废弃物应按要求运往建筑垃圾填埋场。</w:t>
            </w:r>
          </w:p>
          <w:p w14:paraId="3E50A7C2">
            <w:pPr>
              <w:pStyle w:val="47"/>
              <w:ind w:firstLine="482"/>
              <w:rPr>
                <w:b/>
                <w:bCs/>
                <w:color w:val="auto"/>
              </w:rPr>
            </w:pPr>
            <w:r>
              <w:rPr>
                <w:b/>
                <w:bCs/>
                <w:color w:val="auto"/>
              </w:rPr>
              <w:t>4、施工期噪声防治措施</w:t>
            </w:r>
          </w:p>
          <w:p w14:paraId="10A08CC5">
            <w:pPr>
              <w:pStyle w:val="47"/>
              <w:ind w:firstLine="480"/>
              <w:rPr>
                <w:color w:val="auto"/>
              </w:rPr>
            </w:pPr>
            <w:r>
              <w:rPr>
                <w:color w:val="auto"/>
              </w:rPr>
              <w:t>施工期噪声主要来自设备安装阶段所使用的不同工程设备的非连续性作业噪声，具有阶段性、临时性和不固定性等特点为减轻项目对周边环境噪声的影响，建议采取以下措施：</w:t>
            </w:r>
          </w:p>
          <w:p w14:paraId="7D966F55">
            <w:pPr>
              <w:pStyle w:val="47"/>
              <w:ind w:firstLine="480"/>
              <w:rPr>
                <w:color w:val="auto"/>
              </w:rPr>
            </w:pPr>
            <w:r>
              <w:rPr>
                <w:color w:val="auto"/>
              </w:rPr>
              <w:t>（1）在场界周围设置墙或挡板，噪声强度较大的机械90dB</w:t>
            </w:r>
            <w:r>
              <w:rPr>
                <w:rFonts w:hint="eastAsia"/>
                <w:color w:val="auto"/>
              </w:rPr>
              <w:t>（</w:t>
            </w:r>
            <w:r>
              <w:rPr>
                <w:color w:val="auto"/>
              </w:rPr>
              <w:t>A</w:t>
            </w:r>
            <w:r>
              <w:rPr>
                <w:rFonts w:hint="eastAsia"/>
                <w:color w:val="auto"/>
              </w:rPr>
              <w:t>）</w:t>
            </w:r>
            <w:r>
              <w:rPr>
                <w:color w:val="auto"/>
              </w:rPr>
              <w:t>以上集中在昼间非休息时段进行作业，夜间停止施工</w:t>
            </w:r>
            <w:r>
              <w:rPr>
                <w:rFonts w:hint="eastAsia"/>
                <w:color w:val="auto"/>
              </w:rPr>
              <w:t>。</w:t>
            </w:r>
          </w:p>
          <w:p w14:paraId="79C208DE">
            <w:pPr>
              <w:pStyle w:val="47"/>
              <w:ind w:firstLine="480"/>
              <w:rPr>
                <w:color w:val="auto"/>
              </w:rPr>
            </w:pPr>
            <w:r>
              <w:rPr>
                <w:color w:val="auto"/>
              </w:rPr>
              <w:t>（2）要求运输车辆进出场地缓速行驶、禁鸣喇叭、合理安排运输时间，减轻运输车辆噪声对周围环境的影响</w:t>
            </w:r>
            <w:r>
              <w:rPr>
                <w:rFonts w:hint="eastAsia"/>
                <w:color w:val="auto"/>
              </w:rPr>
              <w:t>。</w:t>
            </w:r>
          </w:p>
          <w:p w14:paraId="4ADFCA9B">
            <w:pPr>
              <w:pStyle w:val="47"/>
              <w:ind w:firstLine="480"/>
              <w:rPr>
                <w:color w:val="auto"/>
              </w:rPr>
            </w:pPr>
            <w:r>
              <w:rPr>
                <w:color w:val="auto"/>
              </w:rPr>
              <w:t>（3）使用低噪声设备，加强设备的维护与管理，将固定的机械设备如空压机、电锯等安置在施工场地临时搭建的单独房间内，屋内壁可设置吸声材料</w:t>
            </w:r>
            <w:r>
              <w:rPr>
                <w:rFonts w:hint="eastAsia"/>
                <w:color w:val="auto"/>
              </w:rPr>
              <w:t>。</w:t>
            </w:r>
          </w:p>
          <w:p w14:paraId="5C4B4EE1">
            <w:pPr>
              <w:pStyle w:val="47"/>
              <w:ind w:firstLine="480"/>
              <w:rPr>
                <w:color w:val="auto"/>
              </w:rPr>
            </w:pPr>
            <w:r>
              <w:rPr>
                <w:color w:val="auto"/>
              </w:rPr>
              <w:t>在加强项目日常施工管理，严格采取以上措施后，项目产生的施工噪声可得到有效控制，对周围环境影响较小，项目施工噪声对周围环境影响降低。</w:t>
            </w:r>
          </w:p>
        </w:tc>
      </w:tr>
      <w:tr w14:paraId="5A482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50" w:type="dxa"/>
            <w:tcMar>
              <w:left w:w="28" w:type="dxa"/>
              <w:right w:w="28" w:type="dxa"/>
            </w:tcMar>
            <w:vAlign w:val="center"/>
          </w:tcPr>
          <w:p w14:paraId="6776F482">
            <w:pPr>
              <w:jc w:val="center"/>
              <w:rPr>
                <w:color w:val="auto"/>
                <w:sz w:val="24"/>
              </w:rPr>
            </w:pPr>
            <w:r>
              <w:rPr>
                <w:color w:val="auto"/>
                <w:sz w:val="24"/>
              </w:rPr>
              <w:t>运营</w:t>
            </w:r>
          </w:p>
          <w:p w14:paraId="02DC1C04">
            <w:pPr>
              <w:jc w:val="center"/>
              <w:rPr>
                <w:color w:val="auto"/>
                <w:sz w:val="24"/>
              </w:rPr>
            </w:pPr>
            <w:r>
              <w:rPr>
                <w:color w:val="auto"/>
                <w:sz w:val="24"/>
              </w:rPr>
              <w:t>期环</w:t>
            </w:r>
          </w:p>
          <w:p w14:paraId="33360FB9">
            <w:pPr>
              <w:jc w:val="center"/>
              <w:rPr>
                <w:color w:val="auto"/>
                <w:sz w:val="24"/>
              </w:rPr>
            </w:pPr>
            <w:r>
              <w:rPr>
                <w:color w:val="auto"/>
                <w:sz w:val="24"/>
              </w:rPr>
              <w:t>境影</w:t>
            </w:r>
          </w:p>
          <w:p w14:paraId="40447780">
            <w:pPr>
              <w:jc w:val="center"/>
              <w:rPr>
                <w:color w:val="auto"/>
                <w:sz w:val="24"/>
              </w:rPr>
            </w:pPr>
            <w:r>
              <w:rPr>
                <w:color w:val="auto"/>
                <w:sz w:val="24"/>
              </w:rPr>
              <w:t>响和</w:t>
            </w:r>
          </w:p>
          <w:p w14:paraId="0FA011BE">
            <w:pPr>
              <w:jc w:val="center"/>
              <w:rPr>
                <w:color w:val="auto"/>
                <w:sz w:val="24"/>
              </w:rPr>
            </w:pPr>
            <w:r>
              <w:rPr>
                <w:color w:val="auto"/>
                <w:sz w:val="24"/>
              </w:rPr>
              <w:t>保护</w:t>
            </w:r>
          </w:p>
          <w:p w14:paraId="4310AEBD">
            <w:pPr>
              <w:jc w:val="center"/>
              <w:rPr>
                <w:color w:val="auto"/>
              </w:rPr>
            </w:pPr>
            <w:r>
              <w:rPr>
                <w:color w:val="auto"/>
                <w:sz w:val="24"/>
              </w:rPr>
              <w:t>措施</w:t>
            </w:r>
          </w:p>
        </w:tc>
        <w:tc>
          <w:tcPr>
            <w:tcW w:w="8504" w:type="dxa"/>
            <w:vAlign w:val="center"/>
          </w:tcPr>
          <w:p w14:paraId="4CA7F92E">
            <w:pPr>
              <w:pStyle w:val="47"/>
              <w:ind w:firstLine="482"/>
              <w:rPr>
                <w:b/>
                <w:bCs/>
                <w:color w:val="auto"/>
              </w:rPr>
            </w:pPr>
            <w:r>
              <w:rPr>
                <w:b/>
                <w:bCs/>
                <w:color w:val="auto"/>
              </w:rPr>
              <w:t>1、大气环境影响及防治措施分析</w:t>
            </w:r>
          </w:p>
          <w:p w14:paraId="33B39525">
            <w:pPr>
              <w:pStyle w:val="47"/>
              <w:ind w:firstLine="482"/>
              <w:rPr>
                <w:b/>
                <w:bCs/>
                <w:color w:val="auto"/>
              </w:rPr>
            </w:pPr>
            <w:r>
              <w:rPr>
                <w:b/>
                <w:bCs/>
                <w:color w:val="auto"/>
              </w:rPr>
              <w:t>（1）污染源分析</w:t>
            </w:r>
          </w:p>
          <w:p w14:paraId="1154B6E5">
            <w:pPr>
              <w:pStyle w:val="47"/>
              <w:ind w:firstLine="480"/>
              <w:rPr>
                <w:color w:val="auto"/>
              </w:rPr>
            </w:pPr>
            <w:r>
              <w:rPr>
                <w:color w:val="auto"/>
              </w:rPr>
              <w:t>本项目</w:t>
            </w:r>
            <w:r>
              <w:rPr>
                <w:rFonts w:hint="eastAsia"/>
                <w:color w:val="auto"/>
              </w:rPr>
              <w:t>营运期</w:t>
            </w:r>
            <w:r>
              <w:rPr>
                <w:color w:val="auto"/>
              </w:rPr>
              <w:t>废气主要为</w:t>
            </w:r>
            <w:r>
              <w:rPr>
                <w:rFonts w:hint="eastAsia"/>
                <w:color w:val="auto"/>
              </w:rPr>
              <w:t>加弹废气、危废仓库废气</w:t>
            </w:r>
            <w:r>
              <w:rPr>
                <w:color w:val="auto"/>
              </w:rPr>
              <w:t>。</w:t>
            </w:r>
          </w:p>
          <w:p w14:paraId="1B5348F7">
            <w:pPr>
              <w:pStyle w:val="47"/>
              <w:ind w:firstLine="482"/>
              <w:rPr>
                <w:b/>
                <w:bCs/>
                <w:color w:val="auto"/>
              </w:rPr>
            </w:pPr>
            <w:r>
              <w:rPr>
                <w:rFonts w:hint="eastAsia"/>
                <w:b/>
                <w:bCs/>
                <w:color w:val="auto"/>
              </w:rPr>
              <w:t>①加弹废气</w:t>
            </w:r>
          </w:p>
          <w:p w14:paraId="0AA1AE4A">
            <w:pPr>
              <w:pStyle w:val="47"/>
              <w:ind w:firstLine="480"/>
              <w:rPr>
                <w:color w:val="auto"/>
              </w:rPr>
            </w:pPr>
            <w:r>
              <w:rPr>
                <w:rFonts w:hint="eastAsia"/>
                <w:color w:val="auto"/>
              </w:rPr>
              <w:t>本项目所使用的POY丝原料含有少量的油剂，在上、下热箱中加热定型过程会产生油雾；同时在上油过程中因加入加弹油剂会产生油雾。POY丝所含油剂和加弹油剂成分均为液态烷烃，因此加弹废气以非甲烷总烃表征。1~5#、6~10#、11~15#、16</w:t>
            </w:r>
            <w:r>
              <w:rPr>
                <w:rFonts w:hint="eastAsia"/>
                <w:color w:val="auto"/>
                <w:lang w:val="en-US" w:eastAsia="zh-CN"/>
              </w:rPr>
              <w:t>~</w:t>
            </w:r>
            <w:r>
              <w:rPr>
                <w:rFonts w:hint="eastAsia"/>
                <w:color w:val="auto"/>
              </w:rPr>
              <w:t>20#加弹机产生的有机废气NMHC经自带管道收集后分别由1#~4#高压静电油烟净化器处理后通过4根15m排气筒（DA001~DA004）达标排放。管道收集效率按95%计，高压静电油烟净化器对非甲烷总烃的去除效率按90%计。</w:t>
            </w:r>
          </w:p>
          <w:p w14:paraId="2DB1E10F">
            <w:pPr>
              <w:pStyle w:val="47"/>
              <w:ind w:firstLine="480"/>
              <w:rPr>
                <w:color w:val="auto"/>
              </w:rPr>
            </w:pPr>
            <w:r>
              <w:rPr>
                <w:rFonts w:hint="eastAsia"/>
                <w:color w:val="auto"/>
              </w:rPr>
              <w:t>根据《排放源统计调查产排污核算方法和系数手册》中“2822 涤纶纤维制造行业系数手册”中以涤纶POY为原料采用牵伸-加捻-卷绕工艺，挥发性有机物产生系数为411.05克/吨-产品。本项目原料POY丝使用量为20000t/a，加弹油剂使用量为40t/a，除去生产过程中产生的废丝、废磨毛料、不合格品，则产品总产量约为19810t/a（1.2亿米/年）。因此加弹工序非甲烷总烃产生量为8.143t/a、收集量为7.736t/a、有组织排放量为0.774t/a。</w:t>
            </w:r>
          </w:p>
          <w:p w14:paraId="5E8E47D6">
            <w:pPr>
              <w:pStyle w:val="47"/>
              <w:ind w:firstLine="482"/>
              <w:rPr>
                <w:b/>
                <w:bCs/>
                <w:color w:val="auto"/>
              </w:rPr>
            </w:pPr>
            <w:r>
              <w:rPr>
                <w:rFonts w:hint="eastAsia"/>
                <w:b/>
                <w:bCs/>
                <w:color w:val="auto"/>
              </w:rPr>
              <w:t>②危废仓库废气</w:t>
            </w:r>
          </w:p>
          <w:p w14:paraId="5A8E7FC6">
            <w:pPr>
              <w:pStyle w:val="47"/>
              <w:ind w:firstLine="480"/>
              <w:rPr>
                <w:color w:val="auto"/>
              </w:rPr>
            </w:pPr>
            <w:r>
              <w:rPr>
                <w:rFonts w:hint="eastAsia"/>
                <w:color w:val="auto"/>
              </w:rPr>
              <w:t>本项目产生的危险废物储存于危废仓库中，危险废物在存储过程中会挥发出有机废气。危废仓库废气经风管负压收集后由1#高压静电油烟净化器处理后通过1根15</w:t>
            </w:r>
            <w:r>
              <w:rPr>
                <w:color w:val="auto"/>
              </w:rPr>
              <w:t>m</w:t>
            </w:r>
            <w:r>
              <w:rPr>
                <w:rFonts w:hint="eastAsia"/>
                <w:color w:val="auto"/>
              </w:rPr>
              <w:t>高排气筒（</w:t>
            </w:r>
            <w:r>
              <w:rPr>
                <w:color w:val="auto"/>
              </w:rPr>
              <w:t>DA00</w:t>
            </w:r>
            <w:r>
              <w:rPr>
                <w:rFonts w:hint="eastAsia"/>
                <w:color w:val="auto"/>
              </w:rPr>
              <w:t>1）排放。风管负压收集效率为95</w:t>
            </w:r>
            <w:r>
              <w:rPr>
                <w:color w:val="auto"/>
              </w:rPr>
              <w:t>%</w:t>
            </w:r>
            <w:r>
              <w:rPr>
                <w:rFonts w:hint="eastAsia"/>
                <w:color w:val="auto"/>
              </w:rPr>
              <w:t>，高压静电油烟净化器去除效率为</w:t>
            </w:r>
            <w:r>
              <w:rPr>
                <w:color w:val="auto"/>
              </w:rPr>
              <w:t>90%</w:t>
            </w:r>
            <w:r>
              <w:rPr>
                <w:rFonts w:hint="eastAsia"/>
                <w:color w:val="auto"/>
              </w:rPr>
              <w:t>。</w:t>
            </w:r>
          </w:p>
          <w:p w14:paraId="4E9559B3">
            <w:pPr>
              <w:pStyle w:val="47"/>
              <w:ind w:firstLine="480"/>
              <w:rPr>
                <w:color w:val="auto"/>
              </w:rPr>
            </w:pPr>
            <w:r>
              <w:rPr>
                <w:rFonts w:hint="eastAsia"/>
                <w:color w:val="auto"/>
              </w:rPr>
              <w:t>参考《大气环境影响评价实用技术》（王成栋主编，中国标准出版社，</w:t>
            </w:r>
            <w:r>
              <w:rPr>
                <w:color w:val="auto"/>
              </w:rPr>
              <w:t>2010</w:t>
            </w:r>
            <w:r>
              <w:rPr>
                <w:rFonts w:hint="eastAsia"/>
                <w:color w:val="auto"/>
              </w:rPr>
              <w:t>年</w:t>
            </w:r>
            <w:r>
              <w:rPr>
                <w:color w:val="auto"/>
              </w:rPr>
              <w:t>9</w:t>
            </w:r>
            <w:r>
              <w:rPr>
                <w:rFonts w:hint="eastAsia"/>
                <w:color w:val="auto"/>
              </w:rPr>
              <w:t>月，第</w:t>
            </w:r>
            <w:r>
              <w:rPr>
                <w:color w:val="auto"/>
              </w:rPr>
              <w:t>156</w:t>
            </w:r>
            <w:r>
              <w:rPr>
                <w:rFonts w:hint="eastAsia"/>
                <w:color w:val="auto"/>
              </w:rPr>
              <w:t>页），有机废气的产生量按危险废物的</w:t>
            </w:r>
            <w:r>
              <w:rPr>
                <w:color w:val="auto"/>
              </w:rPr>
              <w:t>0.05‰</w:t>
            </w:r>
            <w:r>
              <w:rPr>
                <w:rFonts w:hint="eastAsia"/>
                <w:color w:val="auto"/>
              </w:rPr>
              <w:t>～</w:t>
            </w:r>
            <w:r>
              <w:rPr>
                <w:color w:val="auto"/>
              </w:rPr>
              <w:t>0.5‰</w:t>
            </w:r>
            <w:r>
              <w:rPr>
                <w:rFonts w:hint="eastAsia"/>
                <w:color w:val="auto"/>
              </w:rPr>
              <w:t>计算。本项目危险废物产生量为</w:t>
            </w:r>
            <w:r>
              <w:rPr>
                <w:rFonts w:hint="eastAsia"/>
                <w:color w:val="auto"/>
                <w:lang w:val="en-US" w:eastAsia="zh-CN"/>
              </w:rPr>
              <w:t>527.17</w:t>
            </w:r>
            <w:r>
              <w:rPr>
                <w:color w:val="auto"/>
              </w:rPr>
              <w:t>t/a</w:t>
            </w:r>
            <w:r>
              <w:rPr>
                <w:rFonts w:hint="eastAsia"/>
                <w:color w:val="auto"/>
              </w:rPr>
              <w:t>，有机废气产生量按</w:t>
            </w:r>
            <w:r>
              <w:rPr>
                <w:color w:val="auto"/>
              </w:rPr>
              <w:t>0.</w:t>
            </w:r>
            <w:r>
              <w:rPr>
                <w:rFonts w:hint="eastAsia"/>
                <w:color w:val="auto"/>
                <w:lang w:val="en-US" w:eastAsia="zh-CN"/>
              </w:rPr>
              <w:t>0</w:t>
            </w:r>
            <w:r>
              <w:rPr>
                <w:color w:val="auto"/>
              </w:rPr>
              <w:t>5‰</w:t>
            </w:r>
            <w:r>
              <w:rPr>
                <w:rFonts w:hint="eastAsia"/>
                <w:color w:val="auto"/>
              </w:rPr>
              <w:t>计算，则危废仓库废气产生量为</w:t>
            </w:r>
            <w:r>
              <w:rPr>
                <w:rFonts w:hint="eastAsia"/>
                <w:color w:val="auto"/>
                <w:lang w:val="en-US" w:eastAsia="zh-CN"/>
              </w:rPr>
              <w:t>0.0264</w:t>
            </w:r>
            <w:r>
              <w:rPr>
                <w:color w:val="auto"/>
              </w:rPr>
              <w:t>t/a</w:t>
            </w:r>
            <w:r>
              <w:rPr>
                <w:rFonts w:hint="eastAsia"/>
                <w:color w:val="auto"/>
              </w:rPr>
              <w:t>，收集量为</w:t>
            </w:r>
            <w:r>
              <w:rPr>
                <w:rFonts w:hint="eastAsia"/>
                <w:color w:val="auto"/>
                <w:lang w:val="en-US" w:eastAsia="zh-CN"/>
              </w:rPr>
              <w:t>0.0258</w:t>
            </w:r>
            <w:r>
              <w:rPr>
                <w:color w:val="auto"/>
              </w:rPr>
              <w:t>t/a</w:t>
            </w:r>
            <w:r>
              <w:rPr>
                <w:rFonts w:hint="eastAsia"/>
                <w:color w:val="auto"/>
              </w:rPr>
              <w:t>，有组织排放量为0.00</w:t>
            </w:r>
            <w:r>
              <w:rPr>
                <w:rFonts w:hint="eastAsia"/>
                <w:color w:val="auto"/>
                <w:lang w:val="en-US" w:eastAsia="zh-CN"/>
              </w:rPr>
              <w:t>26</w:t>
            </w:r>
            <w:r>
              <w:rPr>
                <w:rFonts w:hint="eastAsia"/>
                <w:color w:val="auto"/>
              </w:rPr>
              <w:t>t/a。</w:t>
            </w:r>
          </w:p>
          <w:p w14:paraId="544E27EC">
            <w:pPr>
              <w:pStyle w:val="47"/>
              <w:ind w:firstLine="480"/>
              <w:rPr>
                <w:color w:val="auto"/>
              </w:rPr>
            </w:pPr>
          </w:p>
          <w:p w14:paraId="42FEAF49">
            <w:pPr>
              <w:pStyle w:val="47"/>
              <w:ind w:firstLine="480"/>
              <w:rPr>
                <w:color w:val="auto"/>
              </w:rPr>
            </w:pPr>
          </w:p>
          <w:p w14:paraId="485254C7">
            <w:pPr>
              <w:pStyle w:val="47"/>
              <w:ind w:firstLine="480"/>
              <w:rPr>
                <w:color w:val="auto"/>
              </w:rPr>
            </w:pPr>
          </w:p>
          <w:p w14:paraId="3AE9C053">
            <w:pPr>
              <w:pStyle w:val="47"/>
              <w:ind w:firstLine="480"/>
              <w:rPr>
                <w:color w:val="auto"/>
              </w:rPr>
            </w:pPr>
          </w:p>
          <w:p w14:paraId="4D00E453">
            <w:pPr>
              <w:pStyle w:val="47"/>
              <w:ind w:firstLine="480"/>
              <w:rPr>
                <w:color w:val="auto"/>
              </w:rPr>
            </w:pPr>
          </w:p>
          <w:p w14:paraId="236C4B42">
            <w:pPr>
              <w:pStyle w:val="47"/>
              <w:ind w:firstLine="480"/>
              <w:rPr>
                <w:color w:val="auto"/>
              </w:rPr>
            </w:pPr>
          </w:p>
          <w:p w14:paraId="1E9C09E3">
            <w:pPr>
              <w:pStyle w:val="47"/>
              <w:ind w:firstLine="480"/>
              <w:rPr>
                <w:color w:val="auto"/>
              </w:rPr>
            </w:pPr>
          </w:p>
          <w:p w14:paraId="45432DF4">
            <w:pPr>
              <w:pStyle w:val="47"/>
              <w:ind w:firstLine="480"/>
              <w:rPr>
                <w:color w:val="auto"/>
              </w:rPr>
            </w:pPr>
          </w:p>
          <w:p w14:paraId="43C466A4">
            <w:pPr>
              <w:pStyle w:val="47"/>
              <w:ind w:firstLine="480"/>
              <w:rPr>
                <w:color w:val="auto"/>
              </w:rPr>
            </w:pPr>
          </w:p>
          <w:p w14:paraId="11058F9C">
            <w:pPr>
              <w:pStyle w:val="47"/>
              <w:ind w:firstLine="480"/>
              <w:rPr>
                <w:color w:val="auto"/>
              </w:rPr>
            </w:pPr>
          </w:p>
          <w:p w14:paraId="449AD067">
            <w:pPr>
              <w:pStyle w:val="47"/>
              <w:ind w:firstLine="480"/>
              <w:rPr>
                <w:color w:val="auto"/>
              </w:rPr>
            </w:pPr>
          </w:p>
          <w:p w14:paraId="17EBD625">
            <w:pPr>
              <w:pStyle w:val="47"/>
              <w:ind w:firstLine="480"/>
              <w:rPr>
                <w:color w:val="auto"/>
              </w:rPr>
            </w:pPr>
          </w:p>
          <w:p w14:paraId="6EBD087D">
            <w:pPr>
              <w:pStyle w:val="47"/>
              <w:ind w:firstLine="480"/>
              <w:rPr>
                <w:color w:val="auto"/>
              </w:rPr>
            </w:pPr>
          </w:p>
          <w:p w14:paraId="40BCE61E">
            <w:pPr>
              <w:pStyle w:val="47"/>
              <w:ind w:firstLine="480"/>
              <w:rPr>
                <w:color w:val="auto"/>
              </w:rPr>
            </w:pPr>
          </w:p>
          <w:p w14:paraId="0D7E2801">
            <w:pPr>
              <w:pStyle w:val="47"/>
              <w:ind w:firstLine="480"/>
              <w:rPr>
                <w:color w:val="auto"/>
              </w:rPr>
            </w:pPr>
          </w:p>
          <w:p w14:paraId="7B791954">
            <w:pPr>
              <w:pStyle w:val="47"/>
              <w:ind w:firstLine="480"/>
              <w:rPr>
                <w:color w:val="auto"/>
              </w:rPr>
            </w:pPr>
          </w:p>
          <w:p w14:paraId="2535E014">
            <w:pPr>
              <w:pStyle w:val="47"/>
              <w:ind w:firstLine="480"/>
              <w:rPr>
                <w:color w:val="auto"/>
              </w:rPr>
            </w:pPr>
          </w:p>
          <w:p w14:paraId="687F1772">
            <w:pPr>
              <w:pStyle w:val="47"/>
              <w:ind w:firstLine="480"/>
              <w:rPr>
                <w:color w:val="auto"/>
              </w:rPr>
            </w:pPr>
          </w:p>
          <w:p w14:paraId="7DF4721B">
            <w:pPr>
              <w:pStyle w:val="47"/>
              <w:ind w:firstLine="480"/>
              <w:rPr>
                <w:color w:val="auto"/>
              </w:rPr>
            </w:pPr>
          </w:p>
          <w:p w14:paraId="3AEABD3B">
            <w:pPr>
              <w:pStyle w:val="47"/>
              <w:ind w:firstLine="480"/>
              <w:rPr>
                <w:color w:val="auto"/>
              </w:rPr>
            </w:pPr>
          </w:p>
          <w:p w14:paraId="411D4257">
            <w:pPr>
              <w:pStyle w:val="47"/>
              <w:ind w:firstLine="480"/>
              <w:rPr>
                <w:color w:val="auto"/>
              </w:rPr>
            </w:pPr>
          </w:p>
          <w:p w14:paraId="15A36003">
            <w:pPr>
              <w:pStyle w:val="47"/>
              <w:ind w:firstLine="480"/>
              <w:rPr>
                <w:color w:val="auto"/>
              </w:rPr>
            </w:pPr>
          </w:p>
          <w:p w14:paraId="508B3083">
            <w:pPr>
              <w:pStyle w:val="47"/>
              <w:ind w:firstLine="480"/>
              <w:rPr>
                <w:color w:val="auto"/>
              </w:rPr>
            </w:pPr>
          </w:p>
        </w:tc>
      </w:tr>
    </w:tbl>
    <w:p w14:paraId="181118EB">
      <w:pPr>
        <w:spacing w:before="120" w:after="120"/>
        <w:ind w:right="105" w:firstLine="120"/>
        <w:rPr>
          <w:color w:val="auto"/>
        </w:rPr>
        <w:sectPr>
          <w:pgSz w:w="11906" w:h="16838"/>
          <w:pgMar w:top="1701" w:right="1417" w:bottom="1701" w:left="1417" w:header="851" w:footer="851" w:gutter="0"/>
          <w:cols w:space="720" w:num="1"/>
          <w:docGrid w:linePitch="312" w:charSpace="0"/>
        </w:sectPr>
      </w:pPr>
    </w:p>
    <w:tbl>
      <w:tblPr>
        <w:tblStyle w:val="15"/>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623"/>
      </w:tblGrid>
      <w:tr w14:paraId="7848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9" w:hRule="atLeast"/>
          <w:jc w:val="center"/>
        </w:trPr>
        <w:tc>
          <w:tcPr>
            <w:tcW w:w="252" w:type="pct"/>
            <w:vAlign w:val="center"/>
          </w:tcPr>
          <w:p w14:paraId="02BEC892">
            <w:pPr>
              <w:rPr>
                <w:rFonts w:eastAsia="黑体"/>
                <w:snapToGrid w:val="0"/>
                <w:color w:val="auto"/>
                <w:sz w:val="36"/>
                <w:szCs w:val="36"/>
              </w:rPr>
            </w:pPr>
            <w:r>
              <w:rPr>
                <w:color w:val="auto"/>
                <w:sz w:val="24"/>
                <w:szCs w:val="24"/>
              </w:rPr>
              <w:t>运营期环境影响和保护措施</w:t>
            </w:r>
          </w:p>
        </w:tc>
        <w:tc>
          <w:tcPr>
            <w:tcW w:w="4747" w:type="pct"/>
          </w:tcPr>
          <w:p w14:paraId="26E65178">
            <w:pPr>
              <w:pStyle w:val="7"/>
              <w:rPr>
                <w:color w:val="auto"/>
              </w:rPr>
            </w:pPr>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w:t>
            </w:r>
            <w:r>
              <w:rPr>
                <w:color w:val="auto"/>
              </w:rPr>
              <w:fldChar w:fldCharType="end"/>
            </w:r>
            <w:r>
              <w:rPr>
                <w:color w:val="auto"/>
              </w:rPr>
              <w:t xml:space="preserve"> 项目有组织大气污染源源强核算结果及相关参数一览表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75"/>
              <w:gridCol w:w="900"/>
              <w:gridCol w:w="885"/>
              <w:gridCol w:w="885"/>
              <w:gridCol w:w="990"/>
              <w:gridCol w:w="810"/>
              <w:gridCol w:w="795"/>
              <w:gridCol w:w="1305"/>
              <w:gridCol w:w="630"/>
              <w:gridCol w:w="870"/>
              <w:gridCol w:w="990"/>
              <w:gridCol w:w="795"/>
              <w:gridCol w:w="840"/>
              <w:gridCol w:w="700"/>
            </w:tblGrid>
            <w:tr w14:paraId="6E81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vMerge w:val="restart"/>
                  <w:shd w:val="clear" w:color="auto" w:fill="auto"/>
                  <w:vAlign w:val="center"/>
                </w:tcPr>
                <w:p w14:paraId="23E6513C">
                  <w:pPr>
                    <w:pStyle w:val="49"/>
                    <w:rPr>
                      <w:color w:val="auto"/>
                    </w:rPr>
                  </w:pPr>
                  <w:r>
                    <w:rPr>
                      <w:color w:val="auto"/>
                    </w:rPr>
                    <w:t>污染产生工序</w:t>
                  </w:r>
                </w:p>
              </w:tc>
              <w:tc>
                <w:tcPr>
                  <w:tcW w:w="1275" w:type="dxa"/>
                  <w:vMerge w:val="restart"/>
                  <w:shd w:val="clear" w:color="auto" w:fill="auto"/>
                  <w:vAlign w:val="center"/>
                </w:tcPr>
                <w:p w14:paraId="404F5C3A">
                  <w:pPr>
                    <w:pStyle w:val="49"/>
                    <w:rPr>
                      <w:color w:val="auto"/>
                    </w:rPr>
                  </w:pPr>
                  <w:r>
                    <w:rPr>
                      <w:rFonts w:hint="eastAsia"/>
                      <w:color w:val="auto"/>
                    </w:rPr>
                    <w:t>污染源</w:t>
                  </w:r>
                </w:p>
              </w:tc>
              <w:tc>
                <w:tcPr>
                  <w:tcW w:w="900" w:type="dxa"/>
                  <w:vMerge w:val="restart"/>
                  <w:shd w:val="clear" w:color="auto" w:fill="auto"/>
                  <w:noWrap/>
                  <w:vAlign w:val="center"/>
                </w:tcPr>
                <w:p w14:paraId="685C5BA4">
                  <w:pPr>
                    <w:pStyle w:val="49"/>
                    <w:rPr>
                      <w:color w:val="auto"/>
                    </w:rPr>
                  </w:pPr>
                  <w:r>
                    <w:rPr>
                      <w:color w:val="auto"/>
                    </w:rPr>
                    <w:t>污染物</w:t>
                  </w:r>
                </w:p>
              </w:tc>
              <w:tc>
                <w:tcPr>
                  <w:tcW w:w="885" w:type="dxa"/>
                  <w:vMerge w:val="restart"/>
                  <w:shd w:val="clear" w:color="auto" w:fill="auto"/>
                  <w:vAlign w:val="center"/>
                </w:tcPr>
                <w:p w14:paraId="62519AFC">
                  <w:pPr>
                    <w:pStyle w:val="49"/>
                    <w:rPr>
                      <w:color w:val="auto"/>
                    </w:rPr>
                  </w:pPr>
                  <w:r>
                    <w:rPr>
                      <w:color w:val="auto"/>
                    </w:rPr>
                    <w:t>核算</w:t>
                  </w:r>
                </w:p>
                <w:p w14:paraId="39B521F6">
                  <w:pPr>
                    <w:pStyle w:val="49"/>
                    <w:rPr>
                      <w:color w:val="auto"/>
                    </w:rPr>
                  </w:pPr>
                  <w:r>
                    <w:rPr>
                      <w:color w:val="auto"/>
                    </w:rPr>
                    <w:t>方法</w:t>
                  </w:r>
                </w:p>
              </w:tc>
              <w:tc>
                <w:tcPr>
                  <w:tcW w:w="3480" w:type="dxa"/>
                  <w:gridSpan w:val="4"/>
                  <w:shd w:val="clear" w:color="auto" w:fill="auto"/>
                  <w:vAlign w:val="center"/>
                </w:tcPr>
                <w:p w14:paraId="00A9E2A5">
                  <w:pPr>
                    <w:pStyle w:val="49"/>
                    <w:rPr>
                      <w:color w:val="auto"/>
                    </w:rPr>
                  </w:pPr>
                  <w:r>
                    <w:rPr>
                      <w:color w:val="auto"/>
                    </w:rPr>
                    <w:t>污染物产生</w:t>
                  </w:r>
                </w:p>
              </w:tc>
              <w:tc>
                <w:tcPr>
                  <w:tcW w:w="1935" w:type="dxa"/>
                  <w:gridSpan w:val="2"/>
                  <w:shd w:val="clear" w:color="auto" w:fill="auto"/>
                  <w:noWrap/>
                  <w:vAlign w:val="center"/>
                </w:tcPr>
                <w:p w14:paraId="1A29A731">
                  <w:pPr>
                    <w:pStyle w:val="49"/>
                    <w:rPr>
                      <w:color w:val="auto"/>
                    </w:rPr>
                  </w:pPr>
                  <w:r>
                    <w:rPr>
                      <w:color w:val="auto"/>
                    </w:rPr>
                    <w:t>治理措施</w:t>
                  </w:r>
                </w:p>
              </w:tc>
              <w:tc>
                <w:tcPr>
                  <w:tcW w:w="3495" w:type="dxa"/>
                  <w:gridSpan w:val="4"/>
                  <w:shd w:val="clear" w:color="auto" w:fill="auto"/>
                  <w:noWrap/>
                  <w:vAlign w:val="center"/>
                </w:tcPr>
                <w:p w14:paraId="11930528">
                  <w:pPr>
                    <w:pStyle w:val="49"/>
                    <w:rPr>
                      <w:color w:val="auto"/>
                    </w:rPr>
                  </w:pPr>
                  <w:r>
                    <w:rPr>
                      <w:color w:val="auto"/>
                    </w:rPr>
                    <w:t>污染物排放</w:t>
                  </w:r>
                </w:p>
              </w:tc>
              <w:tc>
                <w:tcPr>
                  <w:tcW w:w="700" w:type="dxa"/>
                  <w:vMerge w:val="restart"/>
                  <w:shd w:val="clear" w:color="auto" w:fill="auto"/>
                  <w:vAlign w:val="center"/>
                </w:tcPr>
                <w:p w14:paraId="2298F0BB">
                  <w:pPr>
                    <w:pStyle w:val="49"/>
                    <w:rPr>
                      <w:color w:val="auto"/>
                    </w:rPr>
                  </w:pPr>
                  <w:r>
                    <w:rPr>
                      <w:color w:val="auto"/>
                    </w:rPr>
                    <w:t>排放时间</w:t>
                  </w:r>
                </w:p>
                <w:p w14:paraId="290B255F">
                  <w:pPr>
                    <w:pStyle w:val="49"/>
                    <w:rPr>
                      <w:color w:val="auto"/>
                    </w:rPr>
                  </w:pPr>
                  <w:r>
                    <w:rPr>
                      <w:color w:val="auto"/>
                    </w:rPr>
                    <w:t>(h/a)</w:t>
                  </w:r>
                </w:p>
              </w:tc>
            </w:tr>
            <w:tr w14:paraId="3B21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vMerge w:val="continue"/>
                  <w:shd w:val="clear" w:color="auto" w:fill="auto"/>
                  <w:vAlign w:val="center"/>
                </w:tcPr>
                <w:p w14:paraId="6418B70B">
                  <w:pPr>
                    <w:pStyle w:val="49"/>
                    <w:rPr>
                      <w:color w:val="auto"/>
                    </w:rPr>
                  </w:pPr>
                </w:p>
              </w:tc>
              <w:tc>
                <w:tcPr>
                  <w:tcW w:w="1275" w:type="dxa"/>
                  <w:vMerge w:val="continue"/>
                  <w:shd w:val="clear" w:color="auto" w:fill="auto"/>
                  <w:vAlign w:val="center"/>
                </w:tcPr>
                <w:p w14:paraId="0A54D644">
                  <w:pPr>
                    <w:pStyle w:val="49"/>
                    <w:rPr>
                      <w:color w:val="auto"/>
                    </w:rPr>
                  </w:pPr>
                </w:p>
              </w:tc>
              <w:tc>
                <w:tcPr>
                  <w:tcW w:w="900" w:type="dxa"/>
                  <w:vMerge w:val="continue"/>
                  <w:shd w:val="clear" w:color="auto" w:fill="auto"/>
                  <w:noWrap/>
                  <w:vAlign w:val="center"/>
                </w:tcPr>
                <w:p w14:paraId="55AC80FC">
                  <w:pPr>
                    <w:pStyle w:val="49"/>
                    <w:rPr>
                      <w:color w:val="auto"/>
                    </w:rPr>
                  </w:pPr>
                </w:p>
              </w:tc>
              <w:tc>
                <w:tcPr>
                  <w:tcW w:w="885" w:type="dxa"/>
                  <w:vMerge w:val="continue"/>
                  <w:shd w:val="clear" w:color="auto" w:fill="auto"/>
                  <w:vAlign w:val="center"/>
                </w:tcPr>
                <w:p w14:paraId="4D424C3B">
                  <w:pPr>
                    <w:pStyle w:val="49"/>
                    <w:rPr>
                      <w:color w:val="auto"/>
                    </w:rPr>
                  </w:pPr>
                </w:p>
              </w:tc>
              <w:tc>
                <w:tcPr>
                  <w:tcW w:w="885" w:type="dxa"/>
                  <w:shd w:val="clear" w:color="auto" w:fill="auto"/>
                  <w:vAlign w:val="center"/>
                </w:tcPr>
                <w:p w14:paraId="3B53EAB0">
                  <w:pPr>
                    <w:pStyle w:val="49"/>
                    <w:rPr>
                      <w:color w:val="auto"/>
                    </w:rPr>
                  </w:pPr>
                  <w:r>
                    <w:rPr>
                      <w:color w:val="auto"/>
                    </w:rPr>
                    <w:t>废气量</w:t>
                  </w:r>
                </w:p>
                <w:p w14:paraId="364F4A8C">
                  <w:pPr>
                    <w:pStyle w:val="49"/>
                    <w:rPr>
                      <w:color w:val="auto"/>
                    </w:rPr>
                  </w:pPr>
                  <w:r>
                    <w:rPr>
                      <w:color w:val="auto"/>
                    </w:rPr>
                    <w:t>(m</w:t>
                  </w:r>
                  <w:r>
                    <w:rPr>
                      <w:color w:val="auto"/>
                      <w:vertAlign w:val="superscript"/>
                    </w:rPr>
                    <w:t>3</w:t>
                  </w:r>
                  <w:r>
                    <w:rPr>
                      <w:color w:val="auto"/>
                    </w:rPr>
                    <w:t>/h)</w:t>
                  </w:r>
                </w:p>
              </w:tc>
              <w:tc>
                <w:tcPr>
                  <w:tcW w:w="990" w:type="dxa"/>
                  <w:shd w:val="clear" w:color="auto" w:fill="auto"/>
                  <w:vAlign w:val="center"/>
                </w:tcPr>
                <w:p w14:paraId="18AA92EB">
                  <w:pPr>
                    <w:pStyle w:val="49"/>
                    <w:rPr>
                      <w:color w:val="auto"/>
                    </w:rPr>
                  </w:pPr>
                  <w:r>
                    <w:rPr>
                      <w:color w:val="auto"/>
                    </w:rPr>
                    <w:t>浓度</w:t>
                  </w:r>
                </w:p>
                <w:p w14:paraId="2BA84F60">
                  <w:pPr>
                    <w:pStyle w:val="49"/>
                    <w:rPr>
                      <w:color w:val="auto"/>
                    </w:rPr>
                  </w:pPr>
                  <w:r>
                    <w:rPr>
                      <w:color w:val="auto"/>
                    </w:rPr>
                    <w:t>(mg/m</w:t>
                  </w:r>
                  <w:r>
                    <w:rPr>
                      <w:color w:val="auto"/>
                      <w:vertAlign w:val="superscript"/>
                    </w:rPr>
                    <w:t>3</w:t>
                  </w:r>
                  <w:r>
                    <w:rPr>
                      <w:color w:val="auto"/>
                    </w:rPr>
                    <w:t>)</w:t>
                  </w:r>
                </w:p>
              </w:tc>
              <w:tc>
                <w:tcPr>
                  <w:tcW w:w="810" w:type="dxa"/>
                  <w:shd w:val="clear" w:color="auto" w:fill="auto"/>
                  <w:vAlign w:val="center"/>
                </w:tcPr>
                <w:p w14:paraId="065DC6A4">
                  <w:pPr>
                    <w:pStyle w:val="49"/>
                    <w:rPr>
                      <w:color w:val="auto"/>
                    </w:rPr>
                  </w:pPr>
                  <w:r>
                    <w:rPr>
                      <w:color w:val="auto"/>
                    </w:rPr>
                    <w:t>速率</w:t>
                  </w:r>
                </w:p>
                <w:p w14:paraId="1D439326">
                  <w:pPr>
                    <w:pStyle w:val="49"/>
                    <w:rPr>
                      <w:color w:val="auto"/>
                    </w:rPr>
                  </w:pPr>
                  <w:r>
                    <w:rPr>
                      <w:color w:val="auto"/>
                    </w:rPr>
                    <w:t>(kg/h)</w:t>
                  </w:r>
                </w:p>
              </w:tc>
              <w:tc>
                <w:tcPr>
                  <w:tcW w:w="795" w:type="dxa"/>
                  <w:shd w:val="clear" w:color="auto" w:fill="auto"/>
                  <w:noWrap/>
                  <w:vAlign w:val="center"/>
                </w:tcPr>
                <w:p w14:paraId="7EFC1649">
                  <w:pPr>
                    <w:pStyle w:val="49"/>
                    <w:rPr>
                      <w:color w:val="auto"/>
                    </w:rPr>
                  </w:pPr>
                  <w:r>
                    <w:rPr>
                      <w:color w:val="auto"/>
                    </w:rPr>
                    <w:t>产生量</w:t>
                  </w:r>
                </w:p>
                <w:p w14:paraId="5E1D9AF1">
                  <w:pPr>
                    <w:pStyle w:val="49"/>
                    <w:rPr>
                      <w:color w:val="auto"/>
                    </w:rPr>
                  </w:pPr>
                  <w:r>
                    <w:rPr>
                      <w:color w:val="auto"/>
                    </w:rPr>
                    <w:t>(t/a)</w:t>
                  </w:r>
                </w:p>
              </w:tc>
              <w:tc>
                <w:tcPr>
                  <w:tcW w:w="1305" w:type="dxa"/>
                  <w:shd w:val="clear" w:color="auto" w:fill="auto"/>
                  <w:noWrap/>
                  <w:vAlign w:val="center"/>
                </w:tcPr>
                <w:p w14:paraId="46694EDD">
                  <w:pPr>
                    <w:pStyle w:val="49"/>
                    <w:rPr>
                      <w:color w:val="auto"/>
                    </w:rPr>
                  </w:pPr>
                  <w:r>
                    <w:rPr>
                      <w:color w:val="auto"/>
                    </w:rPr>
                    <w:t>设备</w:t>
                  </w:r>
                </w:p>
              </w:tc>
              <w:tc>
                <w:tcPr>
                  <w:tcW w:w="630" w:type="dxa"/>
                  <w:shd w:val="clear" w:color="auto" w:fill="auto"/>
                  <w:noWrap/>
                  <w:vAlign w:val="center"/>
                </w:tcPr>
                <w:p w14:paraId="1D2FCBE7">
                  <w:pPr>
                    <w:pStyle w:val="49"/>
                    <w:rPr>
                      <w:color w:val="auto"/>
                    </w:rPr>
                  </w:pPr>
                  <w:r>
                    <w:rPr>
                      <w:color w:val="auto"/>
                    </w:rPr>
                    <w:t>去除率</w:t>
                  </w:r>
                </w:p>
              </w:tc>
              <w:tc>
                <w:tcPr>
                  <w:tcW w:w="870" w:type="dxa"/>
                  <w:shd w:val="clear" w:color="auto" w:fill="auto"/>
                  <w:noWrap/>
                  <w:vAlign w:val="center"/>
                </w:tcPr>
                <w:p w14:paraId="12DB49C2">
                  <w:pPr>
                    <w:pStyle w:val="49"/>
                    <w:rPr>
                      <w:color w:val="auto"/>
                    </w:rPr>
                  </w:pPr>
                  <w:r>
                    <w:rPr>
                      <w:color w:val="auto"/>
                    </w:rPr>
                    <w:t>废气量</w:t>
                  </w:r>
                </w:p>
                <w:p w14:paraId="58BCD859">
                  <w:pPr>
                    <w:pStyle w:val="49"/>
                    <w:rPr>
                      <w:color w:val="auto"/>
                    </w:rPr>
                  </w:pPr>
                  <w:r>
                    <w:rPr>
                      <w:color w:val="auto"/>
                    </w:rPr>
                    <w:t>(m</w:t>
                  </w:r>
                  <w:r>
                    <w:rPr>
                      <w:color w:val="auto"/>
                      <w:vertAlign w:val="superscript"/>
                    </w:rPr>
                    <w:t>3</w:t>
                  </w:r>
                  <w:r>
                    <w:rPr>
                      <w:color w:val="auto"/>
                    </w:rPr>
                    <w:t>/h)</w:t>
                  </w:r>
                </w:p>
              </w:tc>
              <w:tc>
                <w:tcPr>
                  <w:tcW w:w="990" w:type="dxa"/>
                  <w:shd w:val="clear" w:color="auto" w:fill="auto"/>
                  <w:noWrap/>
                  <w:vAlign w:val="center"/>
                </w:tcPr>
                <w:p w14:paraId="6206D4B5">
                  <w:pPr>
                    <w:pStyle w:val="49"/>
                    <w:rPr>
                      <w:color w:val="auto"/>
                    </w:rPr>
                  </w:pPr>
                  <w:r>
                    <w:rPr>
                      <w:color w:val="auto"/>
                    </w:rPr>
                    <w:t>浓度</w:t>
                  </w:r>
                </w:p>
                <w:p w14:paraId="23797CB3">
                  <w:pPr>
                    <w:pStyle w:val="49"/>
                    <w:rPr>
                      <w:color w:val="auto"/>
                    </w:rPr>
                  </w:pPr>
                  <w:r>
                    <w:rPr>
                      <w:color w:val="auto"/>
                    </w:rPr>
                    <w:t>(mg/m</w:t>
                  </w:r>
                  <w:r>
                    <w:rPr>
                      <w:color w:val="auto"/>
                      <w:vertAlign w:val="superscript"/>
                    </w:rPr>
                    <w:t>3</w:t>
                  </w:r>
                  <w:r>
                    <w:rPr>
                      <w:color w:val="auto"/>
                    </w:rPr>
                    <w:t>)</w:t>
                  </w:r>
                </w:p>
              </w:tc>
              <w:tc>
                <w:tcPr>
                  <w:tcW w:w="795" w:type="dxa"/>
                  <w:shd w:val="clear" w:color="auto" w:fill="auto"/>
                  <w:vAlign w:val="center"/>
                </w:tcPr>
                <w:p w14:paraId="22C5AC4B">
                  <w:pPr>
                    <w:pStyle w:val="49"/>
                    <w:rPr>
                      <w:color w:val="auto"/>
                    </w:rPr>
                  </w:pPr>
                  <w:r>
                    <w:rPr>
                      <w:color w:val="auto"/>
                    </w:rPr>
                    <w:t>速率(kg/h)</w:t>
                  </w:r>
                </w:p>
              </w:tc>
              <w:tc>
                <w:tcPr>
                  <w:tcW w:w="840" w:type="dxa"/>
                  <w:shd w:val="clear" w:color="auto" w:fill="auto"/>
                  <w:vAlign w:val="center"/>
                </w:tcPr>
                <w:p w14:paraId="48D94E80">
                  <w:pPr>
                    <w:pStyle w:val="49"/>
                    <w:rPr>
                      <w:color w:val="auto"/>
                    </w:rPr>
                  </w:pPr>
                  <w:r>
                    <w:rPr>
                      <w:color w:val="auto"/>
                    </w:rPr>
                    <w:t>产生量(t/a)</w:t>
                  </w:r>
                </w:p>
              </w:tc>
              <w:tc>
                <w:tcPr>
                  <w:tcW w:w="700" w:type="dxa"/>
                  <w:vMerge w:val="continue"/>
                  <w:shd w:val="clear" w:color="auto" w:fill="auto"/>
                  <w:vAlign w:val="center"/>
                </w:tcPr>
                <w:p w14:paraId="3729E6EE">
                  <w:pPr>
                    <w:rPr>
                      <w:b/>
                      <w:bCs/>
                      <w:color w:val="auto"/>
                      <w:sz w:val="18"/>
                      <w:szCs w:val="18"/>
                    </w:rPr>
                  </w:pPr>
                </w:p>
              </w:tc>
            </w:tr>
            <w:tr w14:paraId="30E0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shd w:val="clear" w:color="auto" w:fill="auto"/>
                  <w:vAlign w:val="center"/>
                </w:tcPr>
                <w:p w14:paraId="076C56B5">
                  <w:pPr>
                    <w:pStyle w:val="51"/>
                    <w:rPr>
                      <w:color w:val="auto"/>
                    </w:rPr>
                  </w:pPr>
                  <w:r>
                    <w:rPr>
                      <w:rFonts w:hint="eastAsia"/>
                      <w:color w:val="auto"/>
                    </w:rPr>
                    <w:t>加弹</w:t>
                  </w:r>
                </w:p>
              </w:tc>
              <w:tc>
                <w:tcPr>
                  <w:tcW w:w="1275" w:type="dxa"/>
                  <w:shd w:val="clear" w:color="auto" w:fill="auto"/>
                  <w:vAlign w:val="center"/>
                </w:tcPr>
                <w:p w14:paraId="08A0D7D8">
                  <w:pPr>
                    <w:pStyle w:val="51"/>
                    <w:rPr>
                      <w:color w:val="auto"/>
                    </w:rPr>
                  </w:pPr>
                  <w:r>
                    <w:rPr>
                      <w:rFonts w:hint="eastAsia"/>
                      <w:color w:val="auto"/>
                    </w:rPr>
                    <w:t>1~5#加弹机（</w:t>
                  </w:r>
                  <w:r>
                    <w:rPr>
                      <w:color w:val="auto"/>
                    </w:rPr>
                    <w:t>DA001</w:t>
                  </w:r>
                  <w:r>
                    <w:rPr>
                      <w:rFonts w:hint="eastAsia"/>
                      <w:color w:val="auto"/>
                    </w:rPr>
                    <w:t>）</w:t>
                  </w:r>
                </w:p>
              </w:tc>
              <w:tc>
                <w:tcPr>
                  <w:tcW w:w="900" w:type="dxa"/>
                  <w:shd w:val="clear" w:color="auto" w:fill="auto"/>
                  <w:noWrap/>
                  <w:vAlign w:val="center"/>
                </w:tcPr>
                <w:p w14:paraId="6674E176">
                  <w:pPr>
                    <w:pStyle w:val="51"/>
                    <w:rPr>
                      <w:color w:val="auto"/>
                    </w:rPr>
                  </w:pPr>
                  <w:r>
                    <w:rPr>
                      <w:rFonts w:hint="eastAsia"/>
                      <w:color w:val="auto"/>
                    </w:rPr>
                    <w:t>非甲烷总烃</w:t>
                  </w:r>
                </w:p>
              </w:tc>
              <w:tc>
                <w:tcPr>
                  <w:tcW w:w="885" w:type="dxa"/>
                  <w:shd w:val="clear" w:color="auto" w:fill="auto"/>
                  <w:vAlign w:val="center"/>
                </w:tcPr>
                <w:p w14:paraId="69FAF485">
                  <w:pPr>
                    <w:pStyle w:val="51"/>
                    <w:rPr>
                      <w:color w:val="auto"/>
                    </w:rPr>
                  </w:pPr>
                  <w:r>
                    <w:rPr>
                      <w:rFonts w:hint="eastAsia"/>
                      <w:color w:val="auto"/>
                    </w:rPr>
                    <w:t>产污系数法</w:t>
                  </w:r>
                </w:p>
              </w:tc>
              <w:tc>
                <w:tcPr>
                  <w:tcW w:w="885" w:type="dxa"/>
                  <w:shd w:val="clear" w:color="auto" w:fill="auto"/>
                  <w:vAlign w:val="center"/>
                </w:tcPr>
                <w:p w14:paraId="28EBCCD8">
                  <w:pPr>
                    <w:pStyle w:val="51"/>
                    <w:rPr>
                      <w:color w:val="auto"/>
                    </w:rPr>
                  </w:pPr>
                  <w:r>
                    <w:rPr>
                      <w:rFonts w:hint="eastAsia"/>
                      <w:color w:val="auto"/>
                    </w:rPr>
                    <w:t>15000</w:t>
                  </w:r>
                </w:p>
              </w:tc>
              <w:tc>
                <w:tcPr>
                  <w:tcW w:w="990" w:type="dxa"/>
                  <w:shd w:val="clear" w:color="auto" w:fill="auto"/>
                  <w:vAlign w:val="center"/>
                </w:tcPr>
                <w:p w14:paraId="466FB4EA">
                  <w:pPr>
                    <w:pStyle w:val="51"/>
                    <w:rPr>
                      <w:color w:val="auto"/>
                    </w:rPr>
                  </w:pPr>
                  <w:r>
                    <w:rPr>
                      <w:color w:val="auto"/>
                    </w:rPr>
                    <w:t>17.9</w:t>
                  </w:r>
                  <w:r>
                    <w:rPr>
                      <w:rFonts w:hint="eastAsia"/>
                      <w:color w:val="auto"/>
                    </w:rPr>
                    <w:t>07</w:t>
                  </w:r>
                  <w:r>
                    <w:rPr>
                      <w:color w:val="auto"/>
                    </w:rPr>
                    <w:t xml:space="preserve"> </w:t>
                  </w:r>
                </w:p>
              </w:tc>
              <w:tc>
                <w:tcPr>
                  <w:tcW w:w="810" w:type="dxa"/>
                  <w:shd w:val="clear" w:color="auto" w:fill="auto"/>
                  <w:vAlign w:val="center"/>
                </w:tcPr>
                <w:p w14:paraId="3C140F2D">
                  <w:pPr>
                    <w:pStyle w:val="51"/>
                    <w:rPr>
                      <w:color w:val="auto"/>
                    </w:rPr>
                  </w:pPr>
                  <w:r>
                    <w:rPr>
                      <w:color w:val="auto"/>
                    </w:rPr>
                    <w:t xml:space="preserve">0.269 </w:t>
                  </w:r>
                </w:p>
              </w:tc>
              <w:tc>
                <w:tcPr>
                  <w:tcW w:w="795" w:type="dxa"/>
                  <w:shd w:val="clear" w:color="auto" w:fill="auto"/>
                  <w:noWrap/>
                  <w:vAlign w:val="center"/>
                </w:tcPr>
                <w:p w14:paraId="035AF1B1">
                  <w:pPr>
                    <w:pStyle w:val="51"/>
                    <w:rPr>
                      <w:color w:val="auto"/>
                    </w:rPr>
                  </w:pPr>
                  <w:r>
                    <w:rPr>
                      <w:color w:val="auto"/>
                    </w:rPr>
                    <w:t>1.93</w:t>
                  </w:r>
                  <w:r>
                    <w:rPr>
                      <w:rFonts w:hint="eastAsia"/>
                      <w:color w:val="auto"/>
                    </w:rPr>
                    <w:t>4</w:t>
                  </w:r>
                  <w:r>
                    <w:rPr>
                      <w:color w:val="auto"/>
                    </w:rPr>
                    <w:t xml:space="preserve"> </w:t>
                  </w:r>
                </w:p>
              </w:tc>
              <w:tc>
                <w:tcPr>
                  <w:tcW w:w="1305" w:type="dxa"/>
                  <w:shd w:val="clear" w:color="auto" w:fill="auto"/>
                  <w:noWrap/>
                  <w:vAlign w:val="center"/>
                </w:tcPr>
                <w:p w14:paraId="04556B1D">
                  <w:pPr>
                    <w:pStyle w:val="51"/>
                    <w:rPr>
                      <w:color w:val="auto"/>
                    </w:rPr>
                  </w:pPr>
                  <w:r>
                    <w:rPr>
                      <w:rFonts w:hint="eastAsia"/>
                      <w:color w:val="auto"/>
                    </w:rPr>
                    <w:t>1#</w:t>
                  </w:r>
                  <w:r>
                    <w:rPr>
                      <w:color w:val="auto"/>
                    </w:rPr>
                    <w:t>高压静电油烟净化器</w:t>
                  </w:r>
                </w:p>
              </w:tc>
              <w:tc>
                <w:tcPr>
                  <w:tcW w:w="630" w:type="dxa"/>
                  <w:shd w:val="clear" w:color="auto" w:fill="auto"/>
                  <w:noWrap/>
                  <w:vAlign w:val="center"/>
                </w:tcPr>
                <w:p w14:paraId="43F6542E">
                  <w:pPr>
                    <w:pStyle w:val="51"/>
                    <w:rPr>
                      <w:color w:val="auto"/>
                    </w:rPr>
                  </w:pPr>
                  <w:r>
                    <w:rPr>
                      <w:color w:val="auto"/>
                    </w:rPr>
                    <w:t>90</w:t>
                  </w:r>
                  <w:r>
                    <w:rPr>
                      <w:rFonts w:hint="eastAsia"/>
                      <w:color w:val="auto"/>
                    </w:rPr>
                    <w:t>%</w:t>
                  </w:r>
                </w:p>
              </w:tc>
              <w:tc>
                <w:tcPr>
                  <w:tcW w:w="870" w:type="dxa"/>
                  <w:shd w:val="clear" w:color="auto" w:fill="auto"/>
                  <w:noWrap/>
                  <w:vAlign w:val="center"/>
                </w:tcPr>
                <w:p w14:paraId="6E03CD41">
                  <w:pPr>
                    <w:pStyle w:val="51"/>
                    <w:rPr>
                      <w:color w:val="auto"/>
                    </w:rPr>
                  </w:pPr>
                  <w:r>
                    <w:rPr>
                      <w:rFonts w:hint="eastAsia"/>
                      <w:color w:val="auto"/>
                    </w:rPr>
                    <w:t>15000</w:t>
                  </w:r>
                </w:p>
              </w:tc>
              <w:tc>
                <w:tcPr>
                  <w:tcW w:w="990" w:type="dxa"/>
                  <w:shd w:val="clear" w:color="auto" w:fill="auto"/>
                  <w:noWrap/>
                  <w:vAlign w:val="center"/>
                </w:tcPr>
                <w:p w14:paraId="6E850702">
                  <w:pPr>
                    <w:pStyle w:val="51"/>
                    <w:rPr>
                      <w:color w:val="auto"/>
                    </w:rPr>
                  </w:pPr>
                  <w:r>
                    <w:rPr>
                      <w:color w:val="auto"/>
                    </w:rPr>
                    <w:t xml:space="preserve">1.791 </w:t>
                  </w:r>
                </w:p>
              </w:tc>
              <w:tc>
                <w:tcPr>
                  <w:tcW w:w="795" w:type="dxa"/>
                  <w:shd w:val="clear" w:color="auto" w:fill="auto"/>
                  <w:vAlign w:val="center"/>
                </w:tcPr>
                <w:p w14:paraId="11D6F217">
                  <w:pPr>
                    <w:pStyle w:val="51"/>
                    <w:rPr>
                      <w:color w:val="auto"/>
                    </w:rPr>
                  </w:pPr>
                  <w:r>
                    <w:rPr>
                      <w:color w:val="auto"/>
                    </w:rPr>
                    <w:t xml:space="preserve">0.027 </w:t>
                  </w:r>
                </w:p>
              </w:tc>
              <w:tc>
                <w:tcPr>
                  <w:tcW w:w="840" w:type="dxa"/>
                  <w:shd w:val="clear" w:color="auto" w:fill="auto"/>
                  <w:vAlign w:val="center"/>
                </w:tcPr>
                <w:p w14:paraId="3713045F">
                  <w:pPr>
                    <w:pStyle w:val="51"/>
                    <w:rPr>
                      <w:color w:val="auto"/>
                    </w:rPr>
                  </w:pPr>
                  <w:r>
                    <w:rPr>
                      <w:color w:val="auto"/>
                    </w:rPr>
                    <w:t xml:space="preserve">0.193 </w:t>
                  </w:r>
                </w:p>
              </w:tc>
              <w:tc>
                <w:tcPr>
                  <w:tcW w:w="700" w:type="dxa"/>
                  <w:shd w:val="clear" w:color="auto" w:fill="auto"/>
                  <w:vAlign w:val="center"/>
                </w:tcPr>
                <w:p w14:paraId="0185B79C">
                  <w:pPr>
                    <w:pStyle w:val="51"/>
                    <w:rPr>
                      <w:color w:val="auto"/>
                    </w:rPr>
                  </w:pPr>
                  <w:r>
                    <w:rPr>
                      <w:color w:val="auto"/>
                    </w:rPr>
                    <w:t>7200</w:t>
                  </w:r>
                </w:p>
              </w:tc>
            </w:tr>
            <w:tr w14:paraId="2A00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shd w:val="clear" w:color="auto" w:fill="auto"/>
                  <w:vAlign w:val="center"/>
                </w:tcPr>
                <w:p w14:paraId="27D0997E">
                  <w:pPr>
                    <w:pStyle w:val="51"/>
                    <w:rPr>
                      <w:color w:val="auto"/>
                    </w:rPr>
                  </w:pPr>
                  <w:r>
                    <w:rPr>
                      <w:rFonts w:hint="eastAsia"/>
                      <w:color w:val="auto"/>
                    </w:rPr>
                    <w:t>加弹</w:t>
                  </w:r>
                </w:p>
              </w:tc>
              <w:tc>
                <w:tcPr>
                  <w:tcW w:w="1275" w:type="dxa"/>
                  <w:shd w:val="clear" w:color="auto" w:fill="auto"/>
                  <w:vAlign w:val="center"/>
                </w:tcPr>
                <w:p w14:paraId="0D83E4B8">
                  <w:pPr>
                    <w:pStyle w:val="51"/>
                    <w:rPr>
                      <w:color w:val="auto"/>
                    </w:rPr>
                  </w:pPr>
                  <w:r>
                    <w:rPr>
                      <w:rFonts w:hint="eastAsia"/>
                      <w:color w:val="auto"/>
                    </w:rPr>
                    <w:t>6~10#加弹机（</w:t>
                  </w:r>
                  <w:r>
                    <w:rPr>
                      <w:color w:val="auto"/>
                    </w:rPr>
                    <w:t>DA00</w:t>
                  </w:r>
                  <w:r>
                    <w:rPr>
                      <w:rFonts w:hint="eastAsia"/>
                      <w:color w:val="auto"/>
                    </w:rPr>
                    <w:t>2）</w:t>
                  </w:r>
                </w:p>
              </w:tc>
              <w:tc>
                <w:tcPr>
                  <w:tcW w:w="900" w:type="dxa"/>
                  <w:shd w:val="clear" w:color="auto" w:fill="auto"/>
                  <w:noWrap/>
                  <w:vAlign w:val="center"/>
                </w:tcPr>
                <w:p w14:paraId="6EEBB617">
                  <w:pPr>
                    <w:pStyle w:val="51"/>
                    <w:rPr>
                      <w:color w:val="auto"/>
                    </w:rPr>
                  </w:pPr>
                  <w:r>
                    <w:rPr>
                      <w:rFonts w:hint="eastAsia"/>
                      <w:color w:val="auto"/>
                    </w:rPr>
                    <w:t>非甲烷总烃</w:t>
                  </w:r>
                </w:p>
              </w:tc>
              <w:tc>
                <w:tcPr>
                  <w:tcW w:w="885" w:type="dxa"/>
                  <w:shd w:val="clear" w:color="auto" w:fill="auto"/>
                  <w:vAlign w:val="center"/>
                </w:tcPr>
                <w:p w14:paraId="656488A4">
                  <w:pPr>
                    <w:pStyle w:val="51"/>
                    <w:rPr>
                      <w:color w:val="auto"/>
                    </w:rPr>
                  </w:pPr>
                  <w:r>
                    <w:rPr>
                      <w:rFonts w:hint="eastAsia"/>
                      <w:color w:val="auto"/>
                    </w:rPr>
                    <w:t>产污系数法</w:t>
                  </w:r>
                </w:p>
              </w:tc>
              <w:tc>
                <w:tcPr>
                  <w:tcW w:w="885" w:type="dxa"/>
                  <w:shd w:val="clear" w:color="auto" w:fill="auto"/>
                  <w:vAlign w:val="center"/>
                </w:tcPr>
                <w:p w14:paraId="7456223A">
                  <w:pPr>
                    <w:pStyle w:val="51"/>
                    <w:rPr>
                      <w:color w:val="auto"/>
                    </w:rPr>
                  </w:pPr>
                  <w:r>
                    <w:rPr>
                      <w:rFonts w:hint="eastAsia"/>
                      <w:color w:val="auto"/>
                    </w:rPr>
                    <w:t>15000</w:t>
                  </w:r>
                </w:p>
              </w:tc>
              <w:tc>
                <w:tcPr>
                  <w:tcW w:w="990" w:type="dxa"/>
                  <w:shd w:val="clear" w:color="auto" w:fill="auto"/>
                  <w:vAlign w:val="center"/>
                </w:tcPr>
                <w:p w14:paraId="25FF15E2">
                  <w:pPr>
                    <w:pStyle w:val="51"/>
                    <w:rPr>
                      <w:color w:val="auto"/>
                    </w:rPr>
                  </w:pPr>
                  <w:r>
                    <w:rPr>
                      <w:color w:val="auto"/>
                    </w:rPr>
                    <w:t>17.9</w:t>
                  </w:r>
                  <w:r>
                    <w:rPr>
                      <w:rFonts w:hint="eastAsia"/>
                      <w:color w:val="auto"/>
                    </w:rPr>
                    <w:t>07</w:t>
                  </w:r>
                  <w:r>
                    <w:rPr>
                      <w:color w:val="auto"/>
                    </w:rPr>
                    <w:t xml:space="preserve"> </w:t>
                  </w:r>
                </w:p>
              </w:tc>
              <w:tc>
                <w:tcPr>
                  <w:tcW w:w="810" w:type="dxa"/>
                  <w:shd w:val="clear" w:color="auto" w:fill="auto"/>
                  <w:vAlign w:val="center"/>
                </w:tcPr>
                <w:p w14:paraId="4FD69CF1">
                  <w:pPr>
                    <w:pStyle w:val="51"/>
                    <w:rPr>
                      <w:color w:val="auto"/>
                    </w:rPr>
                  </w:pPr>
                  <w:r>
                    <w:rPr>
                      <w:color w:val="auto"/>
                    </w:rPr>
                    <w:t xml:space="preserve">0.269 </w:t>
                  </w:r>
                </w:p>
              </w:tc>
              <w:tc>
                <w:tcPr>
                  <w:tcW w:w="795" w:type="dxa"/>
                  <w:shd w:val="clear" w:color="auto" w:fill="auto"/>
                  <w:noWrap/>
                  <w:vAlign w:val="center"/>
                </w:tcPr>
                <w:p w14:paraId="7089E2D0">
                  <w:pPr>
                    <w:pStyle w:val="51"/>
                    <w:rPr>
                      <w:color w:val="auto"/>
                    </w:rPr>
                  </w:pPr>
                  <w:r>
                    <w:rPr>
                      <w:color w:val="auto"/>
                    </w:rPr>
                    <w:t>1.93</w:t>
                  </w:r>
                  <w:r>
                    <w:rPr>
                      <w:rFonts w:hint="eastAsia"/>
                      <w:color w:val="auto"/>
                    </w:rPr>
                    <w:t>4</w:t>
                  </w:r>
                  <w:r>
                    <w:rPr>
                      <w:color w:val="auto"/>
                    </w:rPr>
                    <w:t xml:space="preserve"> </w:t>
                  </w:r>
                </w:p>
              </w:tc>
              <w:tc>
                <w:tcPr>
                  <w:tcW w:w="1305" w:type="dxa"/>
                  <w:shd w:val="clear" w:color="auto" w:fill="auto"/>
                  <w:noWrap/>
                  <w:vAlign w:val="center"/>
                </w:tcPr>
                <w:p w14:paraId="1C4B484C">
                  <w:pPr>
                    <w:pStyle w:val="51"/>
                    <w:rPr>
                      <w:color w:val="auto"/>
                    </w:rPr>
                  </w:pPr>
                  <w:r>
                    <w:rPr>
                      <w:rFonts w:hint="eastAsia"/>
                      <w:color w:val="auto"/>
                    </w:rPr>
                    <w:t>2#</w:t>
                  </w:r>
                  <w:r>
                    <w:rPr>
                      <w:color w:val="auto"/>
                    </w:rPr>
                    <w:t>高压静电油烟净化器</w:t>
                  </w:r>
                </w:p>
              </w:tc>
              <w:tc>
                <w:tcPr>
                  <w:tcW w:w="630" w:type="dxa"/>
                  <w:shd w:val="clear" w:color="auto" w:fill="auto"/>
                  <w:noWrap/>
                  <w:vAlign w:val="center"/>
                </w:tcPr>
                <w:p w14:paraId="39F66743">
                  <w:pPr>
                    <w:pStyle w:val="51"/>
                    <w:rPr>
                      <w:color w:val="auto"/>
                    </w:rPr>
                  </w:pPr>
                  <w:r>
                    <w:rPr>
                      <w:color w:val="auto"/>
                    </w:rPr>
                    <w:t>90</w:t>
                  </w:r>
                  <w:r>
                    <w:rPr>
                      <w:rFonts w:hint="eastAsia"/>
                      <w:color w:val="auto"/>
                    </w:rPr>
                    <w:t>%</w:t>
                  </w:r>
                </w:p>
              </w:tc>
              <w:tc>
                <w:tcPr>
                  <w:tcW w:w="870" w:type="dxa"/>
                  <w:shd w:val="clear" w:color="auto" w:fill="auto"/>
                  <w:noWrap/>
                  <w:vAlign w:val="center"/>
                </w:tcPr>
                <w:p w14:paraId="202A0B25">
                  <w:pPr>
                    <w:pStyle w:val="51"/>
                    <w:rPr>
                      <w:color w:val="auto"/>
                    </w:rPr>
                  </w:pPr>
                  <w:r>
                    <w:rPr>
                      <w:rFonts w:hint="eastAsia"/>
                      <w:color w:val="auto"/>
                    </w:rPr>
                    <w:t>15000</w:t>
                  </w:r>
                </w:p>
              </w:tc>
              <w:tc>
                <w:tcPr>
                  <w:tcW w:w="990" w:type="dxa"/>
                  <w:shd w:val="clear" w:color="auto" w:fill="auto"/>
                  <w:noWrap/>
                  <w:vAlign w:val="center"/>
                </w:tcPr>
                <w:p w14:paraId="1BC00C82">
                  <w:pPr>
                    <w:pStyle w:val="51"/>
                    <w:rPr>
                      <w:color w:val="auto"/>
                    </w:rPr>
                  </w:pPr>
                  <w:r>
                    <w:rPr>
                      <w:color w:val="auto"/>
                    </w:rPr>
                    <w:t xml:space="preserve">1.791 </w:t>
                  </w:r>
                </w:p>
              </w:tc>
              <w:tc>
                <w:tcPr>
                  <w:tcW w:w="795" w:type="dxa"/>
                  <w:shd w:val="clear" w:color="auto" w:fill="auto"/>
                  <w:vAlign w:val="center"/>
                </w:tcPr>
                <w:p w14:paraId="73F9C16E">
                  <w:pPr>
                    <w:pStyle w:val="51"/>
                    <w:rPr>
                      <w:color w:val="auto"/>
                    </w:rPr>
                  </w:pPr>
                  <w:r>
                    <w:rPr>
                      <w:color w:val="auto"/>
                    </w:rPr>
                    <w:t xml:space="preserve">0.027 </w:t>
                  </w:r>
                </w:p>
              </w:tc>
              <w:tc>
                <w:tcPr>
                  <w:tcW w:w="840" w:type="dxa"/>
                  <w:shd w:val="clear" w:color="auto" w:fill="auto"/>
                  <w:vAlign w:val="center"/>
                </w:tcPr>
                <w:p w14:paraId="291D8048">
                  <w:pPr>
                    <w:pStyle w:val="51"/>
                    <w:rPr>
                      <w:color w:val="auto"/>
                    </w:rPr>
                  </w:pPr>
                  <w:r>
                    <w:rPr>
                      <w:color w:val="auto"/>
                    </w:rPr>
                    <w:t xml:space="preserve">0.193 </w:t>
                  </w:r>
                </w:p>
              </w:tc>
              <w:tc>
                <w:tcPr>
                  <w:tcW w:w="700" w:type="dxa"/>
                  <w:shd w:val="clear" w:color="auto" w:fill="auto"/>
                  <w:vAlign w:val="center"/>
                </w:tcPr>
                <w:p w14:paraId="24B8658A">
                  <w:pPr>
                    <w:pStyle w:val="51"/>
                    <w:rPr>
                      <w:color w:val="auto"/>
                    </w:rPr>
                  </w:pPr>
                  <w:r>
                    <w:rPr>
                      <w:color w:val="auto"/>
                    </w:rPr>
                    <w:t>7200</w:t>
                  </w:r>
                </w:p>
              </w:tc>
            </w:tr>
            <w:tr w14:paraId="4B58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shd w:val="clear" w:color="auto" w:fill="auto"/>
                  <w:vAlign w:val="center"/>
                </w:tcPr>
                <w:p w14:paraId="3AA62CB6">
                  <w:pPr>
                    <w:pStyle w:val="51"/>
                    <w:rPr>
                      <w:color w:val="auto"/>
                    </w:rPr>
                  </w:pPr>
                  <w:r>
                    <w:rPr>
                      <w:rFonts w:hint="eastAsia"/>
                      <w:color w:val="auto"/>
                    </w:rPr>
                    <w:t>加弹</w:t>
                  </w:r>
                </w:p>
              </w:tc>
              <w:tc>
                <w:tcPr>
                  <w:tcW w:w="1275" w:type="dxa"/>
                  <w:shd w:val="clear" w:color="auto" w:fill="auto"/>
                  <w:vAlign w:val="center"/>
                </w:tcPr>
                <w:p w14:paraId="1B694431">
                  <w:pPr>
                    <w:pStyle w:val="51"/>
                    <w:rPr>
                      <w:color w:val="auto"/>
                    </w:rPr>
                  </w:pPr>
                  <w:r>
                    <w:rPr>
                      <w:rFonts w:hint="eastAsia"/>
                      <w:color w:val="auto"/>
                    </w:rPr>
                    <w:t>11~15#加弹机（</w:t>
                  </w:r>
                  <w:r>
                    <w:rPr>
                      <w:color w:val="auto"/>
                    </w:rPr>
                    <w:t>DA00</w:t>
                  </w:r>
                  <w:r>
                    <w:rPr>
                      <w:rFonts w:hint="eastAsia"/>
                      <w:color w:val="auto"/>
                    </w:rPr>
                    <w:t>3）</w:t>
                  </w:r>
                </w:p>
              </w:tc>
              <w:tc>
                <w:tcPr>
                  <w:tcW w:w="900" w:type="dxa"/>
                  <w:shd w:val="clear" w:color="auto" w:fill="auto"/>
                  <w:noWrap/>
                  <w:vAlign w:val="center"/>
                </w:tcPr>
                <w:p w14:paraId="0A4F9D1A">
                  <w:pPr>
                    <w:pStyle w:val="51"/>
                    <w:rPr>
                      <w:color w:val="auto"/>
                    </w:rPr>
                  </w:pPr>
                  <w:r>
                    <w:rPr>
                      <w:rFonts w:hint="eastAsia"/>
                      <w:color w:val="auto"/>
                    </w:rPr>
                    <w:t>非甲烷总烃</w:t>
                  </w:r>
                </w:p>
              </w:tc>
              <w:tc>
                <w:tcPr>
                  <w:tcW w:w="885" w:type="dxa"/>
                  <w:shd w:val="clear" w:color="auto" w:fill="auto"/>
                  <w:vAlign w:val="center"/>
                </w:tcPr>
                <w:p w14:paraId="127E353E">
                  <w:pPr>
                    <w:pStyle w:val="51"/>
                    <w:rPr>
                      <w:color w:val="auto"/>
                    </w:rPr>
                  </w:pPr>
                  <w:r>
                    <w:rPr>
                      <w:rFonts w:hint="eastAsia"/>
                      <w:color w:val="auto"/>
                    </w:rPr>
                    <w:t>产污系数法</w:t>
                  </w:r>
                </w:p>
              </w:tc>
              <w:tc>
                <w:tcPr>
                  <w:tcW w:w="885" w:type="dxa"/>
                  <w:shd w:val="clear" w:color="auto" w:fill="auto"/>
                  <w:vAlign w:val="center"/>
                </w:tcPr>
                <w:p w14:paraId="6CD14C3C">
                  <w:pPr>
                    <w:pStyle w:val="51"/>
                    <w:rPr>
                      <w:color w:val="auto"/>
                    </w:rPr>
                  </w:pPr>
                  <w:r>
                    <w:rPr>
                      <w:rFonts w:hint="eastAsia"/>
                      <w:color w:val="auto"/>
                    </w:rPr>
                    <w:t>15000</w:t>
                  </w:r>
                </w:p>
              </w:tc>
              <w:tc>
                <w:tcPr>
                  <w:tcW w:w="990" w:type="dxa"/>
                  <w:shd w:val="clear" w:color="auto" w:fill="auto"/>
                  <w:vAlign w:val="center"/>
                </w:tcPr>
                <w:p w14:paraId="5FF34515">
                  <w:pPr>
                    <w:pStyle w:val="51"/>
                    <w:rPr>
                      <w:color w:val="auto"/>
                    </w:rPr>
                  </w:pPr>
                  <w:r>
                    <w:rPr>
                      <w:color w:val="auto"/>
                    </w:rPr>
                    <w:t>17.9</w:t>
                  </w:r>
                  <w:r>
                    <w:rPr>
                      <w:rFonts w:hint="eastAsia"/>
                      <w:color w:val="auto"/>
                    </w:rPr>
                    <w:t>07</w:t>
                  </w:r>
                  <w:r>
                    <w:rPr>
                      <w:color w:val="auto"/>
                    </w:rPr>
                    <w:t xml:space="preserve"> </w:t>
                  </w:r>
                </w:p>
              </w:tc>
              <w:tc>
                <w:tcPr>
                  <w:tcW w:w="810" w:type="dxa"/>
                  <w:shd w:val="clear" w:color="auto" w:fill="auto"/>
                  <w:vAlign w:val="center"/>
                </w:tcPr>
                <w:p w14:paraId="68E12EF7">
                  <w:pPr>
                    <w:pStyle w:val="51"/>
                    <w:rPr>
                      <w:color w:val="auto"/>
                    </w:rPr>
                  </w:pPr>
                  <w:r>
                    <w:rPr>
                      <w:color w:val="auto"/>
                    </w:rPr>
                    <w:t xml:space="preserve">0.269 </w:t>
                  </w:r>
                </w:p>
              </w:tc>
              <w:tc>
                <w:tcPr>
                  <w:tcW w:w="795" w:type="dxa"/>
                  <w:shd w:val="clear" w:color="auto" w:fill="auto"/>
                  <w:noWrap/>
                  <w:vAlign w:val="center"/>
                </w:tcPr>
                <w:p w14:paraId="642B2E9B">
                  <w:pPr>
                    <w:pStyle w:val="51"/>
                    <w:rPr>
                      <w:color w:val="auto"/>
                    </w:rPr>
                  </w:pPr>
                  <w:r>
                    <w:rPr>
                      <w:color w:val="auto"/>
                    </w:rPr>
                    <w:t>1.93</w:t>
                  </w:r>
                  <w:r>
                    <w:rPr>
                      <w:rFonts w:hint="eastAsia"/>
                      <w:color w:val="auto"/>
                    </w:rPr>
                    <w:t>4</w:t>
                  </w:r>
                  <w:r>
                    <w:rPr>
                      <w:color w:val="auto"/>
                    </w:rPr>
                    <w:t xml:space="preserve"> </w:t>
                  </w:r>
                </w:p>
              </w:tc>
              <w:tc>
                <w:tcPr>
                  <w:tcW w:w="1305" w:type="dxa"/>
                  <w:shd w:val="clear" w:color="auto" w:fill="auto"/>
                  <w:noWrap/>
                  <w:vAlign w:val="center"/>
                </w:tcPr>
                <w:p w14:paraId="0D7A8ED0">
                  <w:pPr>
                    <w:pStyle w:val="51"/>
                    <w:rPr>
                      <w:color w:val="auto"/>
                    </w:rPr>
                  </w:pPr>
                  <w:r>
                    <w:rPr>
                      <w:rFonts w:hint="eastAsia"/>
                      <w:color w:val="auto"/>
                    </w:rPr>
                    <w:t>3#</w:t>
                  </w:r>
                  <w:r>
                    <w:rPr>
                      <w:color w:val="auto"/>
                    </w:rPr>
                    <w:t>高压静电油烟净化器</w:t>
                  </w:r>
                </w:p>
              </w:tc>
              <w:tc>
                <w:tcPr>
                  <w:tcW w:w="630" w:type="dxa"/>
                  <w:shd w:val="clear" w:color="auto" w:fill="auto"/>
                  <w:noWrap/>
                  <w:vAlign w:val="center"/>
                </w:tcPr>
                <w:p w14:paraId="709B4401">
                  <w:pPr>
                    <w:pStyle w:val="51"/>
                    <w:rPr>
                      <w:color w:val="auto"/>
                    </w:rPr>
                  </w:pPr>
                  <w:r>
                    <w:rPr>
                      <w:color w:val="auto"/>
                    </w:rPr>
                    <w:t>90</w:t>
                  </w:r>
                  <w:r>
                    <w:rPr>
                      <w:rFonts w:hint="eastAsia"/>
                      <w:color w:val="auto"/>
                    </w:rPr>
                    <w:t>%</w:t>
                  </w:r>
                </w:p>
              </w:tc>
              <w:tc>
                <w:tcPr>
                  <w:tcW w:w="870" w:type="dxa"/>
                  <w:shd w:val="clear" w:color="auto" w:fill="auto"/>
                  <w:noWrap/>
                  <w:vAlign w:val="center"/>
                </w:tcPr>
                <w:p w14:paraId="70FE695A">
                  <w:pPr>
                    <w:pStyle w:val="51"/>
                    <w:rPr>
                      <w:color w:val="auto"/>
                    </w:rPr>
                  </w:pPr>
                  <w:r>
                    <w:rPr>
                      <w:rFonts w:hint="eastAsia"/>
                      <w:color w:val="auto"/>
                    </w:rPr>
                    <w:t>15000</w:t>
                  </w:r>
                </w:p>
              </w:tc>
              <w:tc>
                <w:tcPr>
                  <w:tcW w:w="990" w:type="dxa"/>
                  <w:shd w:val="clear" w:color="auto" w:fill="auto"/>
                  <w:noWrap/>
                  <w:vAlign w:val="center"/>
                </w:tcPr>
                <w:p w14:paraId="5889C363">
                  <w:pPr>
                    <w:pStyle w:val="51"/>
                    <w:rPr>
                      <w:color w:val="auto"/>
                    </w:rPr>
                  </w:pPr>
                  <w:r>
                    <w:rPr>
                      <w:color w:val="auto"/>
                    </w:rPr>
                    <w:t xml:space="preserve">1.791 </w:t>
                  </w:r>
                </w:p>
              </w:tc>
              <w:tc>
                <w:tcPr>
                  <w:tcW w:w="795" w:type="dxa"/>
                  <w:shd w:val="clear" w:color="auto" w:fill="auto"/>
                  <w:vAlign w:val="center"/>
                </w:tcPr>
                <w:p w14:paraId="45A71012">
                  <w:pPr>
                    <w:pStyle w:val="51"/>
                    <w:rPr>
                      <w:color w:val="auto"/>
                    </w:rPr>
                  </w:pPr>
                  <w:r>
                    <w:rPr>
                      <w:color w:val="auto"/>
                    </w:rPr>
                    <w:t xml:space="preserve">0.027 </w:t>
                  </w:r>
                </w:p>
              </w:tc>
              <w:tc>
                <w:tcPr>
                  <w:tcW w:w="840" w:type="dxa"/>
                  <w:shd w:val="clear" w:color="auto" w:fill="auto"/>
                  <w:vAlign w:val="center"/>
                </w:tcPr>
                <w:p w14:paraId="6EFBA32D">
                  <w:pPr>
                    <w:pStyle w:val="51"/>
                    <w:rPr>
                      <w:color w:val="auto"/>
                    </w:rPr>
                  </w:pPr>
                  <w:r>
                    <w:rPr>
                      <w:color w:val="auto"/>
                    </w:rPr>
                    <w:t xml:space="preserve">0.193 </w:t>
                  </w:r>
                </w:p>
              </w:tc>
              <w:tc>
                <w:tcPr>
                  <w:tcW w:w="700" w:type="dxa"/>
                  <w:shd w:val="clear" w:color="auto" w:fill="auto"/>
                  <w:vAlign w:val="center"/>
                </w:tcPr>
                <w:p w14:paraId="24D0C139">
                  <w:pPr>
                    <w:pStyle w:val="51"/>
                    <w:rPr>
                      <w:color w:val="auto"/>
                    </w:rPr>
                  </w:pPr>
                  <w:r>
                    <w:rPr>
                      <w:color w:val="auto"/>
                    </w:rPr>
                    <w:t>7200</w:t>
                  </w:r>
                </w:p>
              </w:tc>
            </w:tr>
            <w:tr w14:paraId="36B3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shd w:val="clear" w:color="auto" w:fill="auto"/>
                  <w:vAlign w:val="center"/>
                </w:tcPr>
                <w:p w14:paraId="4E753137">
                  <w:pPr>
                    <w:pStyle w:val="51"/>
                    <w:rPr>
                      <w:color w:val="auto"/>
                    </w:rPr>
                  </w:pPr>
                  <w:r>
                    <w:rPr>
                      <w:rFonts w:hint="eastAsia"/>
                      <w:color w:val="auto"/>
                    </w:rPr>
                    <w:t>加弹</w:t>
                  </w:r>
                </w:p>
              </w:tc>
              <w:tc>
                <w:tcPr>
                  <w:tcW w:w="1275" w:type="dxa"/>
                  <w:shd w:val="clear" w:color="auto" w:fill="auto"/>
                  <w:vAlign w:val="center"/>
                </w:tcPr>
                <w:p w14:paraId="694C3AE8">
                  <w:pPr>
                    <w:pStyle w:val="51"/>
                    <w:rPr>
                      <w:color w:val="auto"/>
                    </w:rPr>
                  </w:pPr>
                  <w:r>
                    <w:rPr>
                      <w:rFonts w:hint="eastAsia"/>
                      <w:color w:val="auto"/>
                    </w:rPr>
                    <w:t>16~20#加弹机（</w:t>
                  </w:r>
                  <w:r>
                    <w:rPr>
                      <w:color w:val="auto"/>
                    </w:rPr>
                    <w:t>DA00</w:t>
                  </w:r>
                  <w:r>
                    <w:rPr>
                      <w:rFonts w:hint="eastAsia"/>
                      <w:color w:val="auto"/>
                    </w:rPr>
                    <w:t>4）</w:t>
                  </w:r>
                </w:p>
              </w:tc>
              <w:tc>
                <w:tcPr>
                  <w:tcW w:w="900" w:type="dxa"/>
                  <w:shd w:val="clear" w:color="auto" w:fill="auto"/>
                  <w:noWrap/>
                  <w:vAlign w:val="center"/>
                </w:tcPr>
                <w:p w14:paraId="7C02675C">
                  <w:pPr>
                    <w:pStyle w:val="51"/>
                    <w:rPr>
                      <w:color w:val="auto"/>
                    </w:rPr>
                  </w:pPr>
                  <w:r>
                    <w:rPr>
                      <w:rFonts w:hint="eastAsia"/>
                      <w:color w:val="auto"/>
                    </w:rPr>
                    <w:t>非甲烷总烃</w:t>
                  </w:r>
                </w:p>
              </w:tc>
              <w:tc>
                <w:tcPr>
                  <w:tcW w:w="885" w:type="dxa"/>
                  <w:shd w:val="clear" w:color="auto" w:fill="auto"/>
                  <w:vAlign w:val="center"/>
                </w:tcPr>
                <w:p w14:paraId="75C68DF2">
                  <w:pPr>
                    <w:pStyle w:val="51"/>
                    <w:rPr>
                      <w:color w:val="auto"/>
                    </w:rPr>
                  </w:pPr>
                  <w:r>
                    <w:rPr>
                      <w:rFonts w:hint="eastAsia"/>
                      <w:color w:val="auto"/>
                    </w:rPr>
                    <w:t>产污系数法</w:t>
                  </w:r>
                </w:p>
              </w:tc>
              <w:tc>
                <w:tcPr>
                  <w:tcW w:w="885" w:type="dxa"/>
                  <w:shd w:val="clear" w:color="auto" w:fill="auto"/>
                  <w:vAlign w:val="center"/>
                </w:tcPr>
                <w:p w14:paraId="5049D676">
                  <w:pPr>
                    <w:pStyle w:val="51"/>
                    <w:rPr>
                      <w:color w:val="auto"/>
                    </w:rPr>
                  </w:pPr>
                  <w:r>
                    <w:rPr>
                      <w:rFonts w:hint="eastAsia"/>
                      <w:color w:val="auto"/>
                    </w:rPr>
                    <w:t>15000</w:t>
                  </w:r>
                </w:p>
              </w:tc>
              <w:tc>
                <w:tcPr>
                  <w:tcW w:w="990" w:type="dxa"/>
                  <w:shd w:val="clear" w:color="auto" w:fill="auto"/>
                  <w:vAlign w:val="center"/>
                </w:tcPr>
                <w:p w14:paraId="079CCFE8">
                  <w:pPr>
                    <w:pStyle w:val="51"/>
                    <w:rPr>
                      <w:color w:val="auto"/>
                    </w:rPr>
                  </w:pPr>
                  <w:r>
                    <w:rPr>
                      <w:color w:val="auto"/>
                    </w:rPr>
                    <w:t>17.9</w:t>
                  </w:r>
                  <w:r>
                    <w:rPr>
                      <w:rFonts w:hint="eastAsia"/>
                      <w:color w:val="auto"/>
                    </w:rPr>
                    <w:t>07</w:t>
                  </w:r>
                  <w:r>
                    <w:rPr>
                      <w:color w:val="auto"/>
                    </w:rPr>
                    <w:t xml:space="preserve"> </w:t>
                  </w:r>
                </w:p>
              </w:tc>
              <w:tc>
                <w:tcPr>
                  <w:tcW w:w="810" w:type="dxa"/>
                  <w:shd w:val="clear" w:color="auto" w:fill="auto"/>
                  <w:vAlign w:val="center"/>
                </w:tcPr>
                <w:p w14:paraId="0DEED68C">
                  <w:pPr>
                    <w:pStyle w:val="51"/>
                    <w:rPr>
                      <w:color w:val="auto"/>
                    </w:rPr>
                  </w:pPr>
                  <w:r>
                    <w:rPr>
                      <w:color w:val="auto"/>
                    </w:rPr>
                    <w:t xml:space="preserve">0.269 </w:t>
                  </w:r>
                </w:p>
              </w:tc>
              <w:tc>
                <w:tcPr>
                  <w:tcW w:w="795" w:type="dxa"/>
                  <w:shd w:val="clear" w:color="auto" w:fill="auto"/>
                  <w:noWrap/>
                  <w:vAlign w:val="center"/>
                </w:tcPr>
                <w:p w14:paraId="3E822B6A">
                  <w:pPr>
                    <w:pStyle w:val="51"/>
                    <w:rPr>
                      <w:color w:val="auto"/>
                    </w:rPr>
                  </w:pPr>
                  <w:r>
                    <w:rPr>
                      <w:color w:val="auto"/>
                    </w:rPr>
                    <w:t>1.93</w:t>
                  </w:r>
                  <w:r>
                    <w:rPr>
                      <w:rFonts w:hint="eastAsia"/>
                      <w:color w:val="auto"/>
                    </w:rPr>
                    <w:t>4</w:t>
                  </w:r>
                  <w:r>
                    <w:rPr>
                      <w:color w:val="auto"/>
                    </w:rPr>
                    <w:t xml:space="preserve"> </w:t>
                  </w:r>
                </w:p>
              </w:tc>
              <w:tc>
                <w:tcPr>
                  <w:tcW w:w="1305" w:type="dxa"/>
                  <w:shd w:val="clear" w:color="auto" w:fill="auto"/>
                  <w:noWrap/>
                  <w:vAlign w:val="center"/>
                </w:tcPr>
                <w:p w14:paraId="7CAD86EC">
                  <w:pPr>
                    <w:pStyle w:val="51"/>
                    <w:rPr>
                      <w:color w:val="auto"/>
                    </w:rPr>
                  </w:pPr>
                  <w:r>
                    <w:rPr>
                      <w:rFonts w:hint="eastAsia"/>
                      <w:color w:val="auto"/>
                    </w:rPr>
                    <w:t>4#</w:t>
                  </w:r>
                  <w:r>
                    <w:rPr>
                      <w:color w:val="auto"/>
                    </w:rPr>
                    <w:t>高压静电油烟净化器</w:t>
                  </w:r>
                </w:p>
              </w:tc>
              <w:tc>
                <w:tcPr>
                  <w:tcW w:w="630" w:type="dxa"/>
                  <w:shd w:val="clear" w:color="auto" w:fill="auto"/>
                  <w:noWrap/>
                  <w:vAlign w:val="center"/>
                </w:tcPr>
                <w:p w14:paraId="57675DEA">
                  <w:pPr>
                    <w:pStyle w:val="51"/>
                    <w:rPr>
                      <w:color w:val="auto"/>
                    </w:rPr>
                  </w:pPr>
                  <w:r>
                    <w:rPr>
                      <w:color w:val="auto"/>
                    </w:rPr>
                    <w:t>90</w:t>
                  </w:r>
                  <w:r>
                    <w:rPr>
                      <w:rFonts w:hint="eastAsia"/>
                      <w:color w:val="auto"/>
                    </w:rPr>
                    <w:t>%</w:t>
                  </w:r>
                </w:p>
              </w:tc>
              <w:tc>
                <w:tcPr>
                  <w:tcW w:w="870" w:type="dxa"/>
                  <w:shd w:val="clear" w:color="auto" w:fill="auto"/>
                  <w:noWrap/>
                  <w:vAlign w:val="center"/>
                </w:tcPr>
                <w:p w14:paraId="0DF76972">
                  <w:pPr>
                    <w:pStyle w:val="51"/>
                    <w:rPr>
                      <w:color w:val="auto"/>
                    </w:rPr>
                  </w:pPr>
                  <w:r>
                    <w:rPr>
                      <w:rFonts w:hint="eastAsia"/>
                      <w:color w:val="auto"/>
                    </w:rPr>
                    <w:t>15000</w:t>
                  </w:r>
                </w:p>
              </w:tc>
              <w:tc>
                <w:tcPr>
                  <w:tcW w:w="990" w:type="dxa"/>
                  <w:shd w:val="clear" w:color="auto" w:fill="auto"/>
                  <w:noWrap/>
                  <w:vAlign w:val="center"/>
                </w:tcPr>
                <w:p w14:paraId="36CA2529">
                  <w:pPr>
                    <w:pStyle w:val="51"/>
                    <w:rPr>
                      <w:color w:val="auto"/>
                    </w:rPr>
                  </w:pPr>
                  <w:r>
                    <w:rPr>
                      <w:color w:val="auto"/>
                    </w:rPr>
                    <w:t xml:space="preserve">1.791 </w:t>
                  </w:r>
                </w:p>
              </w:tc>
              <w:tc>
                <w:tcPr>
                  <w:tcW w:w="795" w:type="dxa"/>
                  <w:shd w:val="clear" w:color="auto" w:fill="auto"/>
                  <w:vAlign w:val="center"/>
                </w:tcPr>
                <w:p w14:paraId="7BFE1CD6">
                  <w:pPr>
                    <w:pStyle w:val="51"/>
                    <w:rPr>
                      <w:color w:val="auto"/>
                    </w:rPr>
                  </w:pPr>
                  <w:r>
                    <w:rPr>
                      <w:color w:val="auto"/>
                    </w:rPr>
                    <w:t xml:space="preserve">0.027 </w:t>
                  </w:r>
                </w:p>
              </w:tc>
              <w:tc>
                <w:tcPr>
                  <w:tcW w:w="840" w:type="dxa"/>
                  <w:shd w:val="clear" w:color="auto" w:fill="auto"/>
                  <w:vAlign w:val="center"/>
                </w:tcPr>
                <w:p w14:paraId="646D9826">
                  <w:pPr>
                    <w:pStyle w:val="51"/>
                    <w:rPr>
                      <w:color w:val="auto"/>
                    </w:rPr>
                  </w:pPr>
                  <w:r>
                    <w:rPr>
                      <w:color w:val="auto"/>
                    </w:rPr>
                    <w:t xml:space="preserve">0.193 </w:t>
                  </w:r>
                </w:p>
              </w:tc>
              <w:tc>
                <w:tcPr>
                  <w:tcW w:w="700" w:type="dxa"/>
                  <w:shd w:val="clear" w:color="auto" w:fill="auto"/>
                  <w:vAlign w:val="center"/>
                </w:tcPr>
                <w:p w14:paraId="1F032F65">
                  <w:pPr>
                    <w:pStyle w:val="51"/>
                    <w:rPr>
                      <w:color w:val="auto"/>
                    </w:rPr>
                  </w:pPr>
                  <w:r>
                    <w:rPr>
                      <w:color w:val="auto"/>
                    </w:rPr>
                    <w:t>7200</w:t>
                  </w:r>
                </w:p>
              </w:tc>
            </w:tr>
            <w:tr w14:paraId="79AA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shd w:val="clear" w:color="auto" w:fill="auto"/>
                  <w:vAlign w:val="center"/>
                </w:tcPr>
                <w:p w14:paraId="59A6DB57">
                  <w:pPr>
                    <w:pStyle w:val="51"/>
                    <w:bidi w:val="0"/>
                    <w:rPr>
                      <w:color w:val="auto"/>
                    </w:rPr>
                  </w:pPr>
                  <w:r>
                    <w:rPr>
                      <w:rFonts w:hint="eastAsia"/>
                      <w:color w:val="auto"/>
                    </w:rPr>
                    <w:t>危废储存</w:t>
                  </w:r>
                </w:p>
              </w:tc>
              <w:tc>
                <w:tcPr>
                  <w:tcW w:w="1275" w:type="dxa"/>
                  <w:shd w:val="clear" w:color="auto" w:fill="auto"/>
                  <w:vAlign w:val="center"/>
                </w:tcPr>
                <w:p w14:paraId="78F9A7F8">
                  <w:pPr>
                    <w:pStyle w:val="51"/>
                    <w:bidi w:val="0"/>
                    <w:rPr>
                      <w:color w:val="auto"/>
                    </w:rPr>
                  </w:pPr>
                  <w:r>
                    <w:rPr>
                      <w:rFonts w:hint="eastAsia"/>
                      <w:color w:val="auto"/>
                    </w:rPr>
                    <w:t>危废仓库</w:t>
                  </w:r>
                </w:p>
                <w:p w14:paraId="21D7AC64">
                  <w:pPr>
                    <w:pStyle w:val="51"/>
                    <w:bidi w:val="0"/>
                    <w:rPr>
                      <w:color w:val="auto"/>
                    </w:rPr>
                  </w:pPr>
                  <w:r>
                    <w:rPr>
                      <w:rFonts w:hint="eastAsia"/>
                      <w:color w:val="auto"/>
                    </w:rPr>
                    <w:t>（</w:t>
                  </w:r>
                  <w:r>
                    <w:rPr>
                      <w:color w:val="auto"/>
                    </w:rPr>
                    <w:t>DA001</w:t>
                  </w:r>
                  <w:r>
                    <w:rPr>
                      <w:rFonts w:hint="eastAsia"/>
                      <w:color w:val="auto"/>
                    </w:rPr>
                    <w:t>）</w:t>
                  </w:r>
                </w:p>
              </w:tc>
              <w:tc>
                <w:tcPr>
                  <w:tcW w:w="900" w:type="dxa"/>
                  <w:shd w:val="clear" w:color="auto" w:fill="auto"/>
                  <w:noWrap/>
                  <w:vAlign w:val="center"/>
                </w:tcPr>
                <w:p w14:paraId="25E49047">
                  <w:pPr>
                    <w:pStyle w:val="51"/>
                    <w:bidi w:val="0"/>
                    <w:rPr>
                      <w:color w:val="auto"/>
                    </w:rPr>
                  </w:pPr>
                  <w:r>
                    <w:rPr>
                      <w:rFonts w:hint="eastAsia"/>
                      <w:color w:val="auto"/>
                    </w:rPr>
                    <w:t>非甲烷总烃</w:t>
                  </w:r>
                </w:p>
              </w:tc>
              <w:tc>
                <w:tcPr>
                  <w:tcW w:w="885" w:type="dxa"/>
                  <w:shd w:val="clear" w:color="auto" w:fill="auto"/>
                  <w:vAlign w:val="center"/>
                </w:tcPr>
                <w:p w14:paraId="68C9B9F1">
                  <w:pPr>
                    <w:pStyle w:val="51"/>
                    <w:bidi w:val="0"/>
                    <w:rPr>
                      <w:color w:val="auto"/>
                    </w:rPr>
                  </w:pPr>
                  <w:r>
                    <w:rPr>
                      <w:rFonts w:hint="eastAsia"/>
                      <w:color w:val="auto"/>
                    </w:rPr>
                    <w:t>产污系数法</w:t>
                  </w:r>
                </w:p>
              </w:tc>
              <w:tc>
                <w:tcPr>
                  <w:tcW w:w="885" w:type="dxa"/>
                  <w:shd w:val="clear" w:color="auto" w:fill="auto"/>
                  <w:vAlign w:val="center"/>
                </w:tcPr>
                <w:p w14:paraId="2CB42BC5">
                  <w:pPr>
                    <w:pStyle w:val="51"/>
                    <w:bidi w:val="0"/>
                    <w:rPr>
                      <w:color w:val="auto"/>
                    </w:rPr>
                  </w:pPr>
                  <w:r>
                    <w:rPr>
                      <w:rFonts w:hint="eastAsia"/>
                      <w:color w:val="auto"/>
                    </w:rPr>
                    <w:t>15000</w:t>
                  </w:r>
                </w:p>
              </w:tc>
              <w:tc>
                <w:tcPr>
                  <w:tcW w:w="990" w:type="dxa"/>
                  <w:shd w:val="clear" w:color="auto" w:fill="auto"/>
                  <w:vAlign w:val="center"/>
                </w:tcPr>
                <w:p w14:paraId="40F9D768">
                  <w:pPr>
                    <w:pStyle w:val="51"/>
                    <w:bidi w:val="0"/>
                    <w:rPr>
                      <w:color w:val="auto"/>
                    </w:rPr>
                  </w:pPr>
                  <w:r>
                    <w:rPr>
                      <w:rFonts w:hint="default"/>
                      <w:color w:val="auto"/>
                      <w:lang w:val="en-US" w:eastAsia="zh-CN"/>
                    </w:rPr>
                    <w:t xml:space="preserve">0.2392 </w:t>
                  </w:r>
                </w:p>
              </w:tc>
              <w:tc>
                <w:tcPr>
                  <w:tcW w:w="810" w:type="dxa"/>
                  <w:shd w:val="clear" w:color="auto" w:fill="auto"/>
                  <w:vAlign w:val="center"/>
                </w:tcPr>
                <w:p w14:paraId="6A18D38A">
                  <w:pPr>
                    <w:pStyle w:val="51"/>
                    <w:bidi w:val="0"/>
                    <w:rPr>
                      <w:color w:val="auto"/>
                    </w:rPr>
                  </w:pPr>
                  <w:r>
                    <w:rPr>
                      <w:rFonts w:hint="default"/>
                      <w:color w:val="auto"/>
                      <w:lang w:val="en-US" w:eastAsia="zh-CN"/>
                    </w:rPr>
                    <w:t xml:space="preserve">0.0036 </w:t>
                  </w:r>
                </w:p>
              </w:tc>
              <w:tc>
                <w:tcPr>
                  <w:tcW w:w="795" w:type="dxa"/>
                  <w:shd w:val="clear" w:color="auto" w:fill="auto"/>
                  <w:noWrap/>
                  <w:vAlign w:val="center"/>
                </w:tcPr>
                <w:p w14:paraId="41B6604E">
                  <w:pPr>
                    <w:pStyle w:val="51"/>
                    <w:bidi w:val="0"/>
                    <w:rPr>
                      <w:rFonts w:hint="default"/>
                      <w:color w:val="auto"/>
                      <w:lang w:val="en-US" w:eastAsia="zh-CN"/>
                    </w:rPr>
                  </w:pPr>
                  <w:r>
                    <w:rPr>
                      <w:rFonts w:hint="default"/>
                      <w:color w:val="auto"/>
                      <w:lang w:val="en-US" w:eastAsia="zh-CN"/>
                    </w:rPr>
                    <w:t xml:space="preserve">0.0258 </w:t>
                  </w:r>
                </w:p>
              </w:tc>
              <w:tc>
                <w:tcPr>
                  <w:tcW w:w="1305" w:type="dxa"/>
                  <w:shd w:val="clear" w:color="auto" w:fill="auto"/>
                  <w:noWrap/>
                  <w:vAlign w:val="center"/>
                </w:tcPr>
                <w:p w14:paraId="60F02B2B">
                  <w:pPr>
                    <w:pStyle w:val="51"/>
                    <w:bidi w:val="0"/>
                    <w:rPr>
                      <w:color w:val="auto"/>
                    </w:rPr>
                  </w:pPr>
                  <w:r>
                    <w:rPr>
                      <w:rFonts w:hint="eastAsia"/>
                      <w:color w:val="auto"/>
                    </w:rPr>
                    <w:t>1#</w:t>
                  </w:r>
                  <w:r>
                    <w:rPr>
                      <w:color w:val="auto"/>
                    </w:rPr>
                    <w:t>高压静电油烟净化器</w:t>
                  </w:r>
                </w:p>
              </w:tc>
              <w:tc>
                <w:tcPr>
                  <w:tcW w:w="630" w:type="dxa"/>
                  <w:shd w:val="clear" w:color="auto" w:fill="auto"/>
                  <w:noWrap/>
                  <w:vAlign w:val="center"/>
                </w:tcPr>
                <w:p w14:paraId="1AB48936">
                  <w:pPr>
                    <w:pStyle w:val="51"/>
                    <w:bidi w:val="0"/>
                    <w:rPr>
                      <w:color w:val="auto"/>
                    </w:rPr>
                  </w:pPr>
                  <w:r>
                    <w:rPr>
                      <w:color w:val="auto"/>
                    </w:rPr>
                    <w:t>90</w:t>
                  </w:r>
                  <w:r>
                    <w:rPr>
                      <w:rFonts w:hint="eastAsia"/>
                      <w:color w:val="auto"/>
                    </w:rPr>
                    <w:t>%</w:t>
                  </w:r>
                </w:p>
              </w:tc>
              <w:tc>
                <w:tcPr>
                  <w:tcW w:w="870" w:type="dxa"/>
                  <w:shd w:val="clear" w:color="auto" w:fill="auto"/>
                  <w:noWrap/>
                  <w:vAlign w:val="center"/>
                </w:tcPr>
                <w:p w14:paraId="473C32B3">
                  <w:pPr>
                    <w:pStyle w:val="51"/>
                    <w:bidi w:val="0"/>
                    <w:rPr>
                      <w:color w:val="auto"/>
                    </w:rPr>
                  </w:pPr>
                  <w:r>
                    <w:rPr>
                      <w:rFonts w:hint="eastAsia"/>
                      <w:color w:val="auto"/>
                    </w:rPr>
                    <w:t>15000</w:t>
                  </w:r>
                </w:p>
              </w:tc>
              <w:tc>
                <w:tcPr>
                  <w:tcW w:w="990" w:type="dxa"/>
                  <w:shd w:val="clear" w:color="auto" w:fill="auto"/>
                  <w:noWrap/>
                  <w:vAlign w:val="center"/>
                </w:tcPr>
                <w:p w14:paraId="2742D537">
                  <w:pPr>
                    <w:pStyle w:val="51"/>
                    <w:bidi w:val="0"/>
                    <w:rPr>
                      <w:color w:val="auto"/>
                    </w:rPr>
                  </w:pPr>
                  <w:r>
                    <w:rPr>
                      <w:rFonts w:hint="default"/>
                      <w:color w:val="auto"/>
                      <w:lang w:val="en-US" w:eastAsia="zh-CN"/>
                    </w:rPr>
                    <w:t xml:space="preserve">0.024 </w:t>
                  </w:r>
                </w:p>
              </w:tc>
              <w:tc>
                <w:tcPr>
                  <w:tcW w:w="795" w:type="dxa"/>
                  <w:shd w:val="clear" w:color="auto" w:fill="auto"/>
                  <w:vAlign w:val="center"/>
                </w:tcPr>
                <w:p w14:paraId="45C5CAA5">
                  <w:pPr>
                    <w:pStyle w:val="51"/>
                    <w:bidi w:val="0"/>
                    <w:rPr>
                      <w:color w:val="auto"/>
                    </w:rPr>
                  </w:pPr>
                  <w:r>
                    <w:rPr>
                      <w:rFonts w:hint="default"/>
                      <w:color w:val="auto"/>
                      <w:lang w:val="en-US" w:eastAsia="zh-CN"/>
                    </w:rPr>
                    <w:t xml:space="preserve">0.0004 </w:t>
                  </w:r>
                </w:p>
              </w:tc>
              <w:tc>
                <w:tcPr>
                  <w:tcW w:w="840" w:type="dxa"/>
                  <w:shd w:val="clear" w:color="auto" w:fill="auto"/>
                  <w:vAlign w:val="center"/>
                </w:tcPr>
                <w:p w14:paraId="1DB30D27">
                  <w:pPr>
                    <w:pStyle w:val="51"/>
                    <w:bidi w:val="0"/>
                    <w:rPr>
                      <w:color w:val="auto"/>
                    </w:rPr>
                  </w:pPr>
                  <w:r>
                    <w:rPr>
                      <w:rFonts w:hint="default"/>
                      <w:color w:val="auto"/>
                      <w:lang w:val="en-US" w:eastAsia="zh-CN"/>
                    </w:rPr>
                    <w:t xml:space="preserve">0.0026 </w:t>
                  </w:r>
                </w:p>
              </w:tc>
              <w:tc>
                <w:tcPr>
                  <w:tcW w:w="700" w:type="dxa"/>
                  <w:shd w:val="clear" w:color="auto" w:fill="auto"/>
                  <w:vAlign w:val="center"/>
                </w:tcPr>
                <w:p w14:paraId="373C2842">
                  <w:pPr>
                    <w:pStyle w:val="51"/>
                    <w:bidi w:val="0"/>
                    <w:rPr>
                      <w:color w:val="auto"/>
                    </w:rPr>
                  </w:pPr>
                  <w:r>
                    <w:rPr>
                      <w:color w:val="auto"/>
                    </w:rPr>
                    <w:t>7200</w:t>
                  </w:r>
                </w:p>
              </w:tc>
            </w:tr>
          </w:tbl>
          <w:p w14:paraId="6C6BC453">
            <w:pPr>
              <w:pStyle w:val="7"/>
              <w:rPr>
                <w:color w:val="auto"/>
              </w:rPr>
            </w:pPr>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2</w:t>
            </w:r>
            <w:r>
              <w:rPr>
                <w:color w:val="auto"/>
              </w:rPr>
              <w:fldChar w:fldCharType="end"/>
            </w:r>
            <w:r>
              <w:rPr>
                <w:color w:val="auto"/>
              </w:rPr>
              <w:t xml:space="preserve"> 项目无组织废气产生源强</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02"/>
              <w:gridCol w:w="1665"/>
              <w:gridCol w:w="1432"/>
              <w:gridCol w:w="2019"/>
              <w:gridCol w:w="1282"/>
              <w:gridCol w:w="1335"/>
              <w:gridCol w:w="1654"/>
              <w:gridCol w:w="1474"/>
            </w:tblGrid>
            <w:tr w14:paraId="3ABB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pct"/>
                  <w:vMerge w:val="restart"/>
                  <w:tcBorders>
                    <w:tl2br w:val="nil"/>
                    <w:tr2bl w:val="nil"/>
                  </w:tcBorders>
                  <w:vAlign w:val="center"/>
                </w:tcPr>
                <w:p w14:paraId="50B8D00D">
                  <w:pPr>
                    <w:pStyle w:val="49"/>
                    <w:rPr>
                      <w:color w:val="auto"/>
                    </w:rPr>
                  </w:pPr>
                  <w:r>
                    <w:rPr>
                      <w:color w:val="auto"/>
                    </w:rPr>
                    <w:t>废气来源</w:t>
                  </w:r>
                </w:p>
              </w:tc>
              <w:tc>
                <w:tcPr>
                  <w:tcW w:w="523" w:type="pct"/>
                  <w:vMerge w:val="restart"/>
                  <w:tcBorders>
                    <w:tl2br w:val="nil"/>
                    <w:tr2bl w:val="nil"/>
                  </w:tcBorders>
                  <w:vAlign w:val="center"/>
                </w:tcPr>
                <w:p w14:paraId="76731E62">
                  <w:pPr>
                    <w:pStyle w:val="49"/>
                    <w:rPr>
                      <w:color w:val="auto"/>
                    </w:rPr>
                  </w:pPr>
                  <w:r>
                    <w:rPr>
                      <w:color w:val="auto"/>
                    </w:rPr>
                    <w:t>污染物</w:t>
                  </w:r>
                </w:p>
              </w:tc>
              <w:tc>
                <w:tcPr>
                  <w:tcW w:w="1155" w:type="pct"/>
                  <w:gridSpan w:val="2"/>
                  <w:tcBorders>
                    <w:tl2br w:val="nil"/>
                    <w:tr2bl w:val="nil"/>
                  </w:tcBorders>
                  <w:vAlign w:val="center"/>
                </w:tcPr>
                <w:p w14:paraId="1FA70976">
                  <w:pPr>
                    <w:pStyle w:val="49"/>
                    <w:rPr>
                      <w:color w:val="auto"/>
                    </w:rPr>
                  </w:pPr>
                  <w:r>
                    <w:rPr>
                      <w:color w:val="auto"/>
                    </w:rPr>
                    <w:t>产生情况</w:t>
                  </w:r>
                </w:p>
              </w:tc>
              <w:tc>
                <w:tcPr>
                  <w:tcW w:w="753" w:type="pct"/>
                  <w:vMerge w:val="restart"/>
                  <w:tcBorders>
                    <w:tl2br w:val="nil"/>
                    <w:tr2bl w:val="nil"/>
                  </w:tcBorders>
                  <w:vAlign w:val="center"/>
                </w:tcPr>
                <w:p w14:paraId="4CE29895">
                  <w:pPr>
                    <w:pStyle w:val="49"/>
                    <w:rPr>
                      <w:color w:val="auto"/>
                    </w:rPr>
                  </w:pPr>
                  <w:r>
                    <w:rPr>
                      <w:color w:val="auto"/>
                    </w:rPr>
                    <w:t>处理措施</w:t>
                  </w:r>
                </w:p>
              </w:tc>
              <w:tc>
                <w:tcPr>
                  <w:tcW w:w="976" w:type="pct"/>
                  <w:gridSpan w:val="2"/>
                  <w:tcBorders>
                    <w:tl2br w:val="nil"/>
                    <w:tr2bl w:val="nil"/>
                  </w:tcBorders>
                  <w:vAlign w:val="center"/>
                </w:tcPr>
                <w:p w14:paraId="5C3EC201">
                  <w:pPr>
                    <w:pStyle w:val="49"/>
                    <w:rPr>
                      <w:color w:val="auto"/>
                    </w:rPr>
                  </w:pPr>
                  <w:r>
                    <w:rPr>
                      <w:color w:val="auto"/>
                    </w:rPr>
                    <w:t>排放源参数</w:t>
                  </w:r>
                </w:p>
              </w:tc>
              <w:tc>
                <w:tcPr>
                  <w:tcW w:w="1167" w:type="pct"/>
                  <w:gridSpan w:val="2"/>
                  <w:tcBorders>
                    <w:tl2br w:val="nil"/>
                    <w:tr2bl w:val="nil"/>
                  </w:tcBorders>
                  <w:vAlign w:val="center"/>
                </w:tcPr>
                <w:p w14:paraId="2D45C6AD">
                  <w:pPr>
                    <w:pStyle w:val="49"/>
                    <w:rPr>
                      <w:color w:val="auto"/>
                    </w:rPr>
                  </w:pPr>
                  <w:r>
                    <w:rPr>
                      <w:color w:val="auto"/>
                    </w:rPr>
                    <w:t>排放情况</w:t>
                  </w:r>
                </w:p>
              </w:tc>
            </w:tr>
            <w:tr w14:paraId="32CA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pct"/>
                  <w:vMerge w:val="continue"/>
                  <w:tcBorders>
                    <w:tl2br w:val="nil"/>
                    <w:tr2bl w:val="nil"/>
                  </w:tcBorders>
                  <w:vAlign w:val="center"/>
                </w:tcPr>
                <w:p w14:paraId="0D995664">
                  <w:pPr>
                    <w:pStyle w:val="49"/>
                    <w:rPr>
                      <w:color w:val="auto"/>
                    </w:rPr>
                  </w:pPr>
                </w:p>
              </w:tc>
              <w:tc>
                <w:tcPr>
                  <w:tcW w:w="523" w:type="pct"/>
                  <w:vMerge w:val="continue"/>
                  <w:tcBorders>
                    <w:tl2br w:val="nil"/>
                    <w:tr2bl w:val="nil"/>
                  </w:tcBorders>
                  <w:vAlign w:val="center"/>
                </w:tcPr>
                <w:p w14:paraId="3DC302FD">
                  <w:pPr>
                    <w:pStyle w:val="49"/>
                    <w:rPr>
                      <w:color w:val="auto"/>
                    </w:rPr>
                  </w:pPr>
                </w:p>
              </w:tc>
              <w:tc>
                <w:tcPr>
                  <w:tcW w:w="621" w:type="pct"/>
                  <w:tcBorders>
                    <w:tl2br w:val="nil"/>
                    <w:tr2bl w:val="nil"/>
                  </w:tcBorders>
                  <w:vAlign w:val="center"/>
                </w:tcPr>
                <w:p w14:paraId="0694440E">
                  <w:pPr>
                    <w:pStyle w:val="49"/>
                    <w:rPr>
                      <w:color w:val="auto"/>
                    </w:rPr>
                  </w:pPr>
                  <w:r>
                    <w:rPr>
                      <w:color w:val="auto"/>
                    </w:rPr>
                    <w:t>产生速率(kg/h)</w:t>
                  </w:r>
                </w:p>
              </w:tc>
              <w:tc>
                <w:tcPr>
                  <w:tcW w:w="534" w:type="pct"/>
                  <w:tcBorders>
                    <w:tl2br w:val="nil"/>
                    <w:tr2bl w:val="nil"/>
                  </w:tcBorders>
                  <w:vAlign w:val="center"/>
                </w:tcPr>
                <w:p w14:paraId="192522F6">
                  <w:pPr>
                    <w:pStyle w:val="49"/>
                    <w:rPr>
                      <w:color w:val="auto"/>
                    </w:rPr>
                  </w:pPr>
                  <w:r>
                    <w:rPr>
                      <w:color w:val="auto"/>
                    </w:rPr>
                    <w:t>产生量(t/a)</w:t>
                  </w:r>
                </w:p>
              </w:tc>
              <w:tc>
                <w:tcPr>
                  <w:tcW w:w="753" w:type="pct"/>
                  <w:vMerge w:val="continue"/>
                  <w:tcBorders>
                    <w:tl2br w:val="nil"/>
                    <w:tr2bl w:val="nil"/>
                  </w:tcBorders>
                  <w:vAlign w:val="center"/>
                </w:tcPr>
                <w:p w14:paraId="4E47D051">
                  <w:pPr>
                    <w:pStyle w:val="49"/>
                    <w:rPr>
                      <w:color w:val="auto"/>
                    </w:rPr>
                  </w:pPr>
                </w:p>
              </w:tc>
              <w:tc>
                <w:tcPr>
                  <w:tcW w:w="478" w:type="pct"/>
                  <w:tcBorders>
                    <w:tl2br w:val="nil"/>
                    <w:tr2bl w:val="nil"/>
                  </w:tcBorders>
                  <w:vAlign w:val="center"/>
                </w:tcPr>
                <w:p w14:paraId="7E336790">
                  <w:pPr>
                    <w:pStyle w:val="49"/>
                    <w:rPr>
                      <w:color w:val="auto"/>
                    </w:rPr>
                  </w:pPr>
                  <w:r>
                    <w:rPr>
                      <w:color w:val="auto"/>
                    </w:rPr>
                    <w:t>面积(m</w:t>
                  </w:r>
                  <w:r>
                    <w:rPr>
                      <w:color w:val="auto"/>
                      <w:vertAlign w:val="superscript"/>
                    </w:rPr>
                    <w:t>2</w:t>
                  </w:r>
                  <w:r>
                    <w:rPr>
                      <w:color w:val="auto"/>
                    </w:rPr>
                    <w:t>)</w:t>
                  </w:r>
                </w:p>
              </w:tc>
              <w:tc>
                <w:tcPr>
                  <w:tcW w:w="498" w:type="pct"/>
                  <w:tcBorders>
                    <w:tl2br w:val="nil"/>
                    <w:tr2bl w:val="nil"/>
                  </w:tcBorders>
                  <w:vAlign w:val="center"/>
                </w:tcPr>
                <w:p w14:paraId="65B84E2E">
                  <w:pPr>
                    <w:pStyle w:val="49"/>
                    <w:rPr>
                      <w:color w:val="auto"/>
                    </w:rPr>
                  </w:pPr>
                  <w:r>
                    <w:rPr>
                      <w:color w:val="auto"/>
                    </w:rPr>
                    <w:t>高度(m)</w:t>
                  </w:r>
                </w:p>
              </w:tc>
              <w:tc>
                <w:tcPr>
                  <w:tcW w:w="617" w:type="pct"/>
                  <w:tcBorders>
                    <w:tl2br w:val="nil"/>
                    <w:tr2bl w:val="nil"/>
                  </w:tcBorders>
                  <w:vAlign w:val="center"/>
                </w:tcPr>
                <w:p w14:paraId="4F96EC19">
                  <w:pPr>
                    <w:pStyle w:val="49"/>
                    <w:rPr>
                      <w:color w:val="auto"/>
                    </w:rPr>
                  </w:pPr>
                  <w:r>
                    <w:rPr>
                      <w:color w:val="auto"/>
                    </w:rPr>
                    <w:t>排放速率(kg/h)</w:t>
                  </w:r>
                </w:p>
              </w:tc>
              <w:tc>
                <w:tcPr>
                  <w:tcW w:w="550" w:type="pct"/>
                  <w:tcBorders>
                    <w:tl2br w:val="nil"/>
                    <w:tr2bl w:val="nil"/>
                  </w:tcBorders>
                  <w:vAlign w:val="center"/>
                </w:tcPr>
                <w:p w14:paraId="273D68CA">
                  <w:pPr>
                    <w:pStyle w:val="49"/>
                    <w:rPr>
                      <w:color w:val="auto"/>
                    </w:rPr>
                  </w:pPr>
                  <w:r>
                    <w:rPr>
                      <w:color w:val="auto"/>
                    </w:rPr>
                    <w:t>排放量(t/a)</w:t>
                  </w:r>
                </w:p>
              </w:tc>
            </w:tr>
            <w:tr w14:paraId="7749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pct"/>
                  <w:tcBorders>
                    <w:tl2br w:val="nil"/>
                    <w:tr2bl w:val="nil"/>
                  </w:tcBorders>
                  <w:vAlign w:val="center"/>
                </w:tcPr>
                <w:p w14:paraId="19435D58">
                  <w:pPr>
                    <w:pStyle w:val="51"/>
                    <w:bidi w:val="0"/>
                    <w:rPr>
                      <w:color w:val="auto"/>
                    </w:rPr>
                  </w:pPr>
                  <w:r>
                    <w:rPr>
                      <w:rFonts w:hint="eastAsia"/>
                      <w:color w:val="auto"/>
                    </w:rPr>
                    <w:t>2#厂房</w:t>
                  </w:r>
                </w:p>
              </w:tc>
              <w:tc>
                <w:tcPr>
                  <w:tcW w:w="523" w:type="pct"/>
                  <w:tcBorders>
                    <w:tl2br w:val="nil"/>
                    <w:tr2bl w:val="nil"/>
                  </w:tcBorders>
                  <w:vAlign w:val="center"/>
                </w:tcPr>
                <w:p w14:paraId="57F3CC08">
                  <w:pPr>
                    <w:pStyle w:val="51"/>
                    <w:bidi w:val="0"/>
                    <w:rPr>
                      <w:color w:val="auto"/>
                    </w:rPr>
                  </w:pPr>
                  <w:r>
                    <w:rPr>
                      <w:rFonts w:hint="eastAsia"/>
                      <w:color w:val="auto"/>
                    </w:rPr>
                    <w:t>非甲烷总烃</w:t>
                  </w:r>
                </w:p>
              </w:tc>
              <w:tc>
                <w:tcPr>
                  <w:tcW w:w="1665" w:type="dxa"/>
                  <w:tcBorders>
                    <w:tl2br w:val="nil"/>
                    <w:tr2bl w:val="nil"/>
                  </w:tcBorders>
                  <w:shd w:val="clear" w:color="auto" w:fill="auto"/>
                  <w:vAlign w:val="center"/>
                </w:tcPr>
                <w:p w14:paraId="481C5E61">
                  <w:pPr>
                    <w:pStyle w:val="51"/>
                    <w:bidi w:val="0"/>
                    <w:rPr>
                      <w:color w:val="auto"/>
                    </w:rPr>
                  </w:pPr>
                  <w:r>
                    <w:rPr>
                      <w:color w:val="auto"/>
                    </w:rPr>
                    <w:t xml:space="preserve">0.0565 </w:t>
                  </w:r>
                </w:p>
              </w:tc>
              <w:tc>
                <w:tcPr>
                  <w:tcW w:w="1432" w:type="dxa"/>
                  <w:tcBorders>
                    <w:tl2br w:val="nil"/>
                    <w:tr2bl w:val="nil"/>
                  </w:tcBorders>
                  <w:shd w:val="clear" w:color="auto" w:fill="auto"/>
                  <w:vAlign w:val="center"/>
                </w:tcPr>
                <w:p w14:paraId="192BAFC3">
                  <w:pPr>
                    <w:pStyle w:val="51"/>
                    <w:bidi w:val="0"/>
                    <w:rPr>
                      <w:color w:val="auto"/>
                    </w:rPr>
                  </w:pPr>
                  <w:r>
                    <w:rPr>
                      <w:color w:val="auto"/>
                    </w:rPr>
                    <w:t xml:space="preserve">0.407 </w:t>
                  </w:r>
                </w:p>
              </w:tc>
              <w:tc>
                <w:tcPr>
                  <w:tcW w:w="753" w:type="pct"/>
                  <w:vMerge w:val="restart"/>
                  <w:tcBorders>
                    <w:tl2br w:val="nil"/>
                    <w:tr2bl w:val="nil"/>
                  </w:tcBorders>
                  <w:vAlign w:val="center"/>
                </w:tcPr>
                <w:p w14:paraId="2ACFE824">
                  <w:pPr>
                    <w:pStyle w:val="51"/>
                    <w:bidi w:val="0"/>
                    <w:rPr>
                      <w:color w:val="auto"/>
                    </w:rPr>
                  </w:pPr>
                  <w:r>
                    <w:rPr>
                      <w:color w:val="auto"/>
                    </w:rPr>
                    <w:t>加强管理，提高废气收集效率</w:t>
                  </w:r>
                </w:p>
              </w:tc>
              <w:tc>
                <w:tcPr>
                  <w:tcW w:w="478" w:type="pct"/>
                  <w:tcBorders>
                    <w:tl2br w:val="nil"/>
                    <w:tr2bl w:val="nil"/>
                  </w:tcBorders>
                  <w:vAlign w:val="center"/>
                </w:tcPr>
                <w:p w14:paraId="1BB0F7FE">
                  <w:pPr>
                    <w:pStyle w:val="51"/>
                    <w:bidi w:val="0"/>
                    <w:rPr>
                      <w:color w:val="auto"/>
                    </w:rPr>
                  </w:pPr>
                  <w:r>
                    <w:rPr>
                      <w:rFonts w:hint="eastAsia"/>
                      <w:color w:val="auto"/>
                    </w:rPr>
                    <w:t>14948</w:t>
                  </w:r>
                </w:p>
              </w:tc>
              <w:tc>
                <w:tcPr>
                  <w:tcW w:w="498" w:type="pct"/>
                  <w:tcBorders>
                    <w:tl2br w:val="nil"/>
                    <w:tr2bl w:val="nil"/>
                  </w:tcBorders>
                  <w:vAlign w:val="center"/>
                </w:tcPr>
                <w:p w14:paraId="73E1CDBB">
                  <w:pPr>
                    <w:pStyle w:val="51"/>
                    <w:bidi w:val="0"/>
                    <w:rPr>
                      <w:color w:val="auto"/>
                    </w:rPr>
                  </w:pPr>
                  <w:r>
                    <w:rPr>
                      <w:rFonts w:hint="eastAsia"/>
                      <w:color w:val="auto"/>
                    </w:rPr>
                    <w:t>4.35</w:t>
                  </w:r>
                </w:p>
              </w:tc>
              <w:tc>
                <w:tcPr>
                  <w:tcW w:w="1654" w:type="dxa"/>
                  <w:tcBorders>
                    <w:tl2br w:val="nil"/>
                    <w:tr2bl w:val="nil"/>
                  </w:tcBorders>
                  <w:vAlign w:val="center"/>
                </w:tcPr>
                <w:p w14:paraId="37570BAA">
                  <w:pPr>
                    <w:pStyle w:val="51"/>
                    <w:bidi w:val="0"/>
                    <w:rPr>
                      <w:color w:val="auto"/>
                    </w:rPr>
                  </w:pPr>
                  <w:r>
                    <w:rPr>
                      <w:color w:val="auto"/>
                    </w:rPr>
                    <w:t xml:space="preserve">0.0565 </w:t>
                  </w:r>
                </w:p>
              </w:tc>
              <w:tc>
                <w:tcPr>
                  <w:tcW w:w="1474" w:type="dxa"/>
                  <w:tcBorders>
                    <w:tl2br w:val="nil"/>
                    <w:tr2bl w:val="nil"/>
                  </w:tcBorders>
                  <w:vAlign w:val="center"/>
                </w:tcPr>
                <w:p w14:paraId="1D430876">
                  <w:pPr>
                    <w:pStyle w:val="51"/>
                    <w:bidi w:val="0"/>
                    <w:rPr>
                      <w:color w:val="auto"/>
                    </w:rPr>
                  </w:pPr>
                  <w:r>
                    <w:rPr>
                      <w:color w:val="auto"/>
                    </w:rPr>
                    <w:t xml:space="preserve">0.407 </w:t>
                  </w:r>
                </w:p>
              </w:tc>
            </w:tr>
            <w:tr w14:paraId="10AA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pct"/>
                  <w:tcBorders>
                    <w:tl2br w:val="nil"/>
                    <w:tr2bl w:val="nil"/>
                  </w:tcBorders>
                  <w:vAlign w:val="center"/>
                </w:tcPr>
                <w:p w14:paraId="6ACF274D">
                  <w:pPr>
                    <w:pStyle w:val="51"/>
                    <w:bidi w:val="0"/>
                    <w:rPr>
                      <w:color w:val="auto"/>
                    </w:rPr>
                  </w:pPr>
                  <w:r>
                    <w:rPr>
                      <w:rFonts w:hint="eastAsia"/>
                      <w:color w:val="auto"/>
                    </w:rPr>
                    <w:t>危废仓库</w:t>
                  </w:r>
                </w:p>
              </w:tc>
              <w:tc>
                <w:tcPr>
                  <w:tcW w:w="523" w:type="pct"/>
                  <w:tcBorders>
                    <w:tl2br w:val="nil"/>
                    <w:tr2bl w:val="nil"/>
                  </w:tcBorders>
                  <w:vAlign w:val="center"/>
                </w:tcPr>
                <w:p w14:paraId="7163AF89">
                  <w:pPr>
                    <w:pStyle w:val="51"/>
                    <w:bidi w:val="0"/>
                    <w:rPr>
                      <w:color w:val="auto"/>
                    </w:rPr>
                  </w:pPr>
                  <w:r>
                    <w:rPr>
                      <w:rFonts w:hint="eastAsia"/>
                      <w:color w:val="auto"/>
                    </w:rPr>
                    <w:t>非甲烷总烃</w:t>
                  </w:r>
                </w:p>
              </w:tc>
              <w:tc>
                <w:tcPr>
                  <w:tcW w:w="1665" w:type="dxa"/>
                  <w:tcBorders>
                    <w:tl2br w:val="nil"/>
                    <w:tr2bl w:val="nil"/>
                  </w:tcBorders>
                  <w:shd w:val="clear" w:color="auto" w:fill="auto"/>
                  <w:vAlign w:val="center"/>
                </w:tcPr>
                <w:p w14:paraId="7EDE8BD4">
                  <w:pPr>
                    <w:pStyle w:val="51"/>
                    <w:bidi w:val="0"/>
                    <w:rPr>
                      <w:color w:val="auto"/>
                    </w:rPr>
                  </w:pPr>
                  <w:r>
                    <w:rPr>
                      <w:rFonts w:hint="default"/>
                      <w:color w:val="auto"/>
                      <w:lang w:val="en-US" w:eastAsia="zh-CN"/>
                    </w:rPr>
                    <w:t xml:space="preserve">0.00007 </w:t>
                  </w:r>
                </w:p>
              </w:tc>
              <w:tc>
                <w:tcPr>
                  <w:tcW w:w="1432" w:type="dxa"/>
                  <w:tcBorders>
                    <w:tl2br w:val="nil"/>
                    <w:tr2bl w:val="nil"/>
                  </w:tcBorders>
                  <w:shd w:val="clear" w:color="auto" w:fill="auto"/>
                  <w:vAlign w:val="center"/>
                </w:tcPr>
                <w:p w14:paraId="525ECFE9">
                  <w:pPr>
                    <w:pStyle w:val="51"/>
                    <w:bidi w:val="0"/>
                    <w:rPr>
                      <w:color w:val="auto"/>
                    </w:rPr>
                  </w:pPr>
                  <w:r>
                    <w:rPr>
                      <w:rFonts w:hint="default"/>
                      <w:color w:val="auto"/>
                      <w:lang w:val="en-US" w:eastAsia="zh-CN"/>
                    </w:rPr>
                    <w:t xml:space="preserve">0.0005 </w:t>
                  </w:r>
                </w:p>
              </w:tc>
              <w:tc>
                <w:tcPr>
                  <w:tcW w:w="753" w:type="pct"/>
                  <w:vMerge w:val="continue"/>
                  <w:tcBorders>
                    <w:tl2br w:val="nil"/>
                    <w:tr2bl w:val="nil"/>
                  </w:tcBorders>
                  <w:vAlign w:val="center"/>
                </w:tcPr>
                <w:p w14:paraId="49897A3A">
                  <w:pPr>
                    <w:pStyle w:val="51"/>
                    <w:bidi w:val="0"/>
                    <w:rPr>
                      <w:color w:val="auto"/>
                    </w:rPr>
                  </w:pPr>
                </w:p>
              </w:tc>
              <w:tc>
                <w:tcPr>
                  <w:tcW w:w="478" w:type="pct"/>
                  <w:tcBorders>
                    <w:tl2br w:val="nil"/>
                    <w:tr2bl w:val="nil"/>
                  </w:tcBorders>
                  <w:vAlign w:val="center"/>
                </w:tcPr>
                <w:p w14:paraId="27A7CB12">
                  <w:pPr>
                    <w:pStyle w:val="51"/>
                    <w:bidi w:val="0"/>
                    <w:rPr>
                      <w:color w:val="auto"/>
                    </w:rPr>
                  </w:pPr>
                  <w:r>
                    <w:rPr>
                      <w:rFonts w:hint="eastAsia"/>
                      <w:color w:val="auto"/>
                    </w:rPr>
                    <w:t>20</w:t>
                  </w:r>
                </w:p>
              </w:tc>
              <w:tc>
                <w:tcPr>
                  <w:tcW w:w="498" w:type="pct"/>
                  <w:tcBorders>
                    <w:tl2br w:val="nil"/>
                    <w:tr2bl w:val="nil"/>
                  </w:tcBorders>
                  <w:vAlign w:val="center"/>
                </w:tcPr>
                <w:p w14:paraId="2EA9C382">
                  <w:pPr>
                    <w:pStyle w:val="51"/>
                    <w:bidi w:val="0"/>
                    <w:rPr>
                      <w:color w:val="auto"/>
                    </w:rPr>
                  </w:pPr>
                  <w:r>
                    <w:rPr>
                      <w:rFonts w:hint="eastAsia"/>
                      <w:color w:val="auto"/>
                    </w:rPr>
                    <w:t>4</w:t>
                  </w:r>
                </w:p>
              </w:tc>
              <w:tc>
                <w:tcPr>
                  <w:tcW w:w="1654" w:type="dxa"/>
                  <w:tcBorders>
                    <w:tl2br w:val="nil"/>
                    <w:tr2bl w:val="nil"/>
                  </w:tcBorders>
                  <w:vAlign w:val="center"/>
                </w:tcPr>
                <w:p w14:paraId="68B3A473">
                  <w:pPr>
                    <w:pStyle w:val="51"/>
                    <w:bidi w:val="0"/>
                    <w:rPr>
                      <w:color w:val="auto"/>
                    </w:rPr>
                  </w:pPr>
                  <w:r>
                    <w:rPr>
                      <w:rFonts w:hint="default"/>
                      <w:color w:val="auto"/>
                      <w:lang w:val="en-US" w:eastAsia="zh-CN"/>
                    </w:rPr>
                    <w:t xml:space="preserve">0.00007 </w:t>
                  </w:r>
                </w:p>
              </w:tc>
              <w:tc>
                <w:tcPr>
                  <w:tcW w:w="1474" w:type="dxa"/>
                  <w:tcBorders>
                    <w:tl2br w:val="nil"/>
                    <w:tr2bl w:val="nil"/>
                  </w:tcBorders>
                  <w:vAlign w:val="center"/>
                </w:tcPr>
                <w:p w14:paraId="5F69F470">
                  <w:pPr>
                    <w:pStyle w:val="51"/>
                    <w:bidi w:val="0"/>
                    <w:rPr>
                      <w:color w:val="auto"/>
                    </w:rPr>
                  </w:pPr>
                  <w:r>
                    <w:rPr>
                      <w:rFonts w:hint="default"/>
                      <w:color w:val="auto"/>
                      <w:lang w:val="en-US" w:eastAsia="zh-CN"/>
                    </w:rPr>
                    <w:t xml:space="preserve">0.0005 </w:t>
                  </w:r>
                </w:p>
              </w:tc>
            </w:tr>
          </w:tbl>
          <w:p w14:paraId="18691682">
            <w:pPr>
              <w:pStyle w:val="47"/>
              <w:ind w:firstLine="480"/>
              <w:rPr>
                <w:color w:val="auto"/>
              </w:rPr>
            </w:pPr>
          </w:p>
          <w:p w14:paraId="5381F8BE">
            <w:pPr>
              <w:pStyle w:val="47"/>
              <w:ind w:firstLine="480"/>
              <w:rPr>
                <w:color w:val="auto"/>
              </w:rPr>
            </w:pPr>
          </w:p>
          <w:p w14:paraId="4A730DCA">
            <w:pPr>
              <w:pStyle w:val="47"/>
              <w:ind w:firstLine="480"/>
              <w:rPr>
                <w:color w:val="auto"/>
              </w:rPr>
            </w:pPr>
          </w:p>
          <w:p w14:paraId="37DDDAA3">
            <w:pPr>
              <w:pStyle w:val="47"/>
              <w:ind w:firstLine="480"/>
              <w:rPr>
                <w:color w:val="auto"/>
              </w:rPr>
            </w:pPr>
          </w:p>
          <w:p w14:paraId="6390B4DA">
            <w:pPr>
              <w:pStyle w:val="47"/>
              <w:ind w:firstLine="480"/>
              <w:rPr>
                <w:color w:val="auto"/>
              </w:rPr>
            </w:pPr>
          </w:p>
          <w:p w14:paraId="63D50106">
            <w:pPr>
              <w:pStyle w:val="47"/>
              <w:ind w:firstLine="480"/>
              <w:rPr>
                <w:color w:val="auto"/>
              </w:rPr>
            </w:pPr>
          </w:p>
          <w:p w14:paraId="63F9F978">
            <w:pPr>
              <w:pStyle w:val="47"/>
              <w:ind w:firstLine="480"/>
              <w:rPr>
                <w:color w:val="auto"/>
              </w:rPr>
            </w:pPr>
          </w:p>
          <w:p w14:paraId="7F13DBFC">
            <w:pPr>
              <w:pStyle w:val="47"/>
              <w:ind w:firstLine="480"/>
              <w:rPr>
                <w:color w:val="auto"/>
              </w:rPr>
            </w:pPr>
          </w:p>
        </w:tc>
      </w:tr>
    </w:tbl>
    <w:p w14:paraId="733E0F49">
      <w:pPr>
        <w:rPr>
          <w:color w:val="auto"/>
        </w:rPr>
        <w:sectPr>
          <w:type w:val="continuous"/>
          <w:pgSz w:w="16838" w:h="11906" w:orient="landscape"/>
          <w:pgMar w:top="1417" w:right="1701" w:bottom="1417" w:left="1701" w:header="851" w:footer="851" w:gutter="0"/>
          <w:cols w:space="720" w:num="1"/>
          <w:docGrid w:linePitch="312" w:charSpace="0"/>
        </w:sectPr>
      </w:pPr>
    </w:p>
    <w:tbl>
      <w:tblPr>
        <w:tblStyle w:val="15"/>
        <w:tblW w:w="9524"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659"/>
      </w:tblGrid>
      <w:tr w14:paraId="07EC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3" w:hRule="atLeast"/>
        </w:trPr>
        <w:tc>
          <w:tcPr>
            <w:tcW w:w="850" w:type="dxa"/>
            <w:vAlign w:val="center"/>
          </w:tcPr>
          <w:p w14:paraId="0613E911">
            <w:pPr>
              <w:jc w:val="center"/>
              <w:rPr>
                <w:color w:val="auto"/>
                <w:sz w:val="24"/>
                <w:szCs w:val="24"/>
              </w:rPr>
            </w:pPr>
            <w:r>
              <w:rPr>
                <w:color w:val="auto"/>
                <w:sz w:val="24"/>
                <w:szCs w:val="24"/>
              </w:rPr>
              <w:t>运营</w:t>
            </w:r>
          </w:p>
          <w:p w14:paraId="544CD23E">
            <w:pPr>
              <w:jc w:val="center"/>
              <w:rPr>
                <w:color w:val="auto"/>
                <w:sz w:val="24"/>
                <w:szCs w:val="24"/>
              </w:rPr>
            </w:pPr>
            <w:r>
              <w:rPr>
                <w:color w:val="auto"/>
                <w:sz w:val="24"/>
                <w:szCs w:val="24"/>
              </w:rPr>
              <w:t>期环</w:t>
            </w:r>
          </w:p>
          <w:p w14:paraId="7BC58401">
            <w:pPr>
              <w:jc w:val="center"/>
              <w:rPr>
                <w:color w:val="auto"/>
                <w:sz w:val="24"/>
                <w:szCs w:val="24"/>
              </w:rPr>
            </w:pPr>
            <w:r>
              <w:rPr>
                <w:color w:val="auto"/>
                <w:sz w:val="24"/>
                <w:szCs w:val="24"/>
              </w:rPr>
              <w:t>境影</w:t>
            </w:r>
          </w:p>
          <w:p w14:paraId="7FD04CC8">
            <w:pPr>
              <w:jc w:val="center"/>
              <w:rPr>
                <w:color w:val="auto"/>
                <w:sz w:val="24"/>
                <w:szCs w:val="24"/>
              </w:rPr>
            </w:pPr>
            <w:r>
              <w:rPr>
                <w:color w:val="auto"/>
                <w:sz w:val="24"/>
                <w:szCs w:val="24"/>
              </w:rPr>
              <w:t>响和</w:t>
            </w:r>
          </w:p>
          <w:p w14:paraId="00C61540">
            <w:pPr>
              <w:jc w:val="center"/>
              <w:rPr>
                <w:color w:val="auto"/>
                <w:sz w:val="24"/>
                <w:szCs w:val="24"/>
              </w:rPr>
            </w:pPr>
            <w:r>
              <w:rPr>
                <w:color w:val="auto"/>
                <w:sz w:val="24"/>
                <w:szCs w:val="24"/>
              </w:rPr>
              <w:t>保护</w:t>
            </w:r>
          </w:p>
          <w:p w14:paraId="3B0AE4A6">
            <w:pPr>
              <w:jc w:val="center"/>
              <w:rPr>
                <w:snapToGrid w:val="0"/>
                <w:color w:val="auto"/>
                <w:sz w:val="30"/>
              </w:rPr>
            </w:pPr>
            <w:r>
              <w:rPr>
                <w:color w:val="auto"/>
                <w:sz w:val="24"/>
                <w:szCs w:val="24"/>
              </w:rPr>
              <w:t>措施</w:t>
            </w:r>
          </w:p>
        </w:tc>
        <w:tc>
          <w:tcPr>
            <w:tcW w:w="8504" w:type="dxa"/>
          </w:tcPr>
          <w:p w14:paraId="11AC66E4">
            <w:pPr>
              <w:pStyle w:val="47"/>
              <w:ind w:firstLine="482"/>
              <w:rPr>
                <w:b/>
                <w:bCs/>
                <w:color w:val="auto"/>
              </w:rPr>
            </w:pPr>
            <w:r>
              <w:rPr>
                <w:b/>
                <w:bCs/>
                <w:color w:val="auto"/>
              </w:rPr>
              <w:t>（2）排放口基本信息</w:t>
            </w:r>
          </w:p>
          <w:p w14:paraId="11E570F9">
            <w:pPr>
              <w:pStyle w:val="47"/>
              <w:ind w:firstLine="480"/>
              <w:rPr>
                <w:color w:val="auto"/>
              </w:rPr>
            </w:pPr>
            <w:r>
              <w:rPr>
                <w:color w:val="auto"/>
              </w:rPr>
              <w:t>本项目共设置</w:t>
            </w:r>
            <w:r>
              <w:rPr>
                <w:rFonts w:hint="eastAsia"/>
                <w:color w:val="auto"/>
              </w:rPr>
              <w:t>4</w:t>
            </w:r>
            <w:r>
              <w:rPr>
                <w:color w:val="auto"/>
              </w:rPr>
              <w:t>根排气筒，排气筒基本参数详见</w:t>
            </w:r>
            <w:r>
              <w:rPr>
                <w:color w:val="auto"/>
              </w:rPr>
              <w:fldChar w:fldCharType="begin"/>
            </w:r>
            <w:r>
              <w:rPr>
                <w:color w:val="auto"/>
              </w:rPr>
              <w:instrText xml:space="preserve"> REF _Ref5876 \h </w:instrText>
            </w:r>
            <w:r>
              <w:rPr>
                <w:color w:val="auto"/>
              </w:rPr>
              <w:fldChar w:fldCharType="separate"/>
            </w:r>
            <w:r>
              <w:rPr>
                <w:color w:val="auto"/>
              </w:rPr>
              <w:t>表4- 3</w:t>
            </w:r>
            <w:r>
              <w:rPr>
                <w:color w:val="auto"/>
              </w:rPr>
              <w:fldChar w:fldCharType="end"/>
            </w:r>
            <w:r>
              <w:rPr>
                <w:color w:val="auto"/>
              </w:rPr>
              <w:t>。</w:t>
            </w:r>
          </w:p>
          <w:p w14:paraId="61944356">
            <w:pPr>
              <w:pStyle w:val="7"/>
              <w:rPr>
                <w:color w:val="auto"/>
              </w:rPr>
            </w:pPr>
            <w:bookmarkStart w:id="49" w:name="_Ref5876"/>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3</w:t>
            </w:r>
            <w:r>
              <w:rPr>
                <w:color w:val="auto"/>
              </w:rPr>
              <w:fldChar w:fldCharType="end"/>
            </w:r>
            <w:bookmarkEnd w:id="49"/>
            <w:r>
              <w:rPr>
                <w:color w:val="auto"/>
              </w:rPr>
              <w:t xml:space="preserve"> 排气筒参数一览表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360"/>
              <w:gridCol w:w="1185"/>
              <w:gridCol w:w="1082"/>
              <w:gridCol w:w="929"/>
              <w:gridCol w:w="929"/>
              <w:gridCol w:w="931"/>
              <w:gridCol w:w="1096"/>
            </w:tblGrid>
            <w:tr w14:paraId="531A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4" w:type="pct"/>
                  <w:vMerge w:val="restart"/>
                  <w:tcBorders>
                    <w:tl2br w:val="nil"/>
                    <w:tr2bl w:val="nil"/>
                  </w:tcBorders>
                  <w:vAlign w:val="center"/>
                </w:tcPr>
                <w:p w14:paraId="0AD1EE03">
                  <w:pPr>
                    <w:pStyle w:val="49"/>
                    <w:rPr>
                      <w:color w:val="auto"/>
                    </w:rPr>
                  </w:pPr>
                  <w:r>
                    <w:rPr>
                      <w:color w:val="auto"/>
                    </w:rPr>
                    <w:t>排气筒编号</w:t>
                  </w:r>
                </w:p>
              </w:tc>
              <w:tc>
                <w:tcPr>
                  <w:tcW w:w="806" w:type="pct"/>
                  <w:vMerge w:val="restart"/>
                  <w:tcBorders>
                    <w:tl2br w:val="nil"/>
                    <w:tr2bl w:val="nil"/>
                  </w:tcBorders>
                  <w:vAlign w:val="center"/>
                </w:tcPr>
                <w:p w14:paraId="4A4E133E">
                  <w:pPr>
                    <w:pStyle w:val="49"/>
                    <w:rPr>
                      <w:color w:val="auto"/>
                    </w:rPr>
                  </w:pPr>
                  <w:r>
                    <w:rPr>
                      <w:color w:val="auto"/>
                    </w:rPr>
                    <w:t>排放口</w:t>
                  </w:r>
                </w:p>
                <w:p w14:paraId="55D2692F">
                  <w:pPr>
                    <w:pStyle w:val="49"/>
                    <w:rPr>
                      <w:color w:val="auto"/>
                    </w:rPr>
                  </w:pPr>
                  <w:r>
                    <w:rPr>
                      <w:color w:val="auto"/>
                    </w:rPr>
                    <w:t>类型</w:t>
                  </w:r>
                </w:p>
              </w:tc>
              <w:tc>
                <w:tcPr>
                  <w:tcW w:w="1343" w:type="pct"/>
                  <w:gridSpan w:val="2"/>
                  <w:tcBorders>
                    <w:tl2br w:val="nil"/>
                    <w:tr2bl w:val="nil"/>
                  </w:tcBorders>
                  <w:vAlign w:val="center"/>
                </w:tcPr>
                <w:p w14:paraId="65479163">
                  <w:pPr>
                    <w:pStyle w:val="49"/>
                    <w:rPr>
                      <w:color w:val="auto"/>
                    </w:rPr>
                  </w:pPr>
                  <w:r>
                    <w:rPr>
                      <w:color w:val="auto"/>
                    </w:rPr>
                    <w:t>坐标</w:t>
                  </w:r>
                </w:p>
              </w:tc>
              <w:tc>
                <w:tcPr>
                  <w:tcW w:w="1654" w:type="pct"/>
                  <w:gridSpan w:val="3"/>
                  <w:tcBorders>
                    <w:tl2br w:val="nil"/>
                    <w:tr2bl w:val="nil"/>
                  </w:tcBorders>
                  <w:vAlign w:val="center"/>
                </w:tcPr>
                <w:p w14:paraId="2EEBD4BF">
                  <w:pPr>
                    <w:pStyle w:val="49"/>
                    <w:rPr>
                      <w:color w:val="auto"/>
                    </w:rPr>
                  </w:pPr>
                  <w:r>
                    <w:rPr>
                      <w:color w:val="auto"/>
                    </w:rPr>
                    <w:t>排气筒参数</w:t>
                  </w:r>
                </w:p>
              </w:tc>
              <w:tc>
                <w:tcPr>
                  <w:tcW w:w="650" w:type="pct"/>
                  <w:vMerge w:val="restart"/>
                  <w:tcBorders>
                    <w:tl2br w:val="nil"/>
                    <w:tr2bl w:val="nil"/>
                  </w:tcBorders>
                  <w:vAlign w:val="center"/>
                </w:tcPr>
                <w:p w14:paraId="1CE85BE0">
                  <w:pPr>
                    <w:pStyle w:val="49"/>
                    <w:rPr>
                      <w:color w:val="auto"/>
                    </w:rPr>
                  </w:pPr>
                  <w:r>
                    <w:rPr>
                      <w:color w:val="auto"/>
                    </w:rPr>
                    <w:t>风量（m</w:t>
                  </w:r>
                  <w:r>
                    <w:rPr>
                      <w:color w:val="auto"/>
                      <w:vertAlign w:val="superscript"/>
                    </w:rPr>
                    <w:t>3</w:t>
                  </w:r>
                  <w:r>
                    <w:rPr>
                      <w:color w:val="auto"/>
                    </w:rPr>
                    <w:t>/h）</w:t>
                  </w:r>
                </w:p>
              </w:tc>
            </w:tr>
            <w:tr w14:paraId="60BB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4" w:type="pct"/>
                  <w:vMerge w:val="continue"/>
                  <w:tcBorders>
                    <w:tl2br w:val="nil"/>
                    <w:tr2bl w:val="nil"/>
                  </w:tcBorders>
                  <w:vAlign w:val="center"/>
                </w:tcPr>
                <w:p w14:paraId="4174DEAE">
                  <w:pPr>
                    <w:pStyle w:val="49"/>
                    <w:rPr>
                      <w:color w:val="auto"/>
                    </w:rPr>
                  </w:pPr>
                </w:p>
              </w:tc>
              <w:tc>
                <w:tcPr>
                  <w:tcW w:w="806" w:type="pct"/>
                  <w:vMerge w:val="continue"/>
                  <w:tcBorders>
                    <w:tl2br w:val="nil"/>
                    <w:tr2bl w:val="nil"/>
                  </w:tcBorders>
                  <w:vAlign w:val="center"/>
                </w:tcPr>
                <w:p w14:paraId="70C6F242">
                  <w:pPr>
                    <w:pStyle w:val="49"/>
                    <w:rPr>
                      <w:color w:val="auto"/>
                    </w:rPr>
                  </w:pPr>
                </w:p>
              </w:tc>
              <w:tc>
                <w:tcPr>
                  <w:tcW w:w="702" w:type="pct"/>
                  <w:tcBorders>
                    <w:tl2br w:val="nil"/>
                    <w:tr2bl w:val="nil"/>
                  </w:tcBorders>
                  <w:vAlign w:val="center"/>
                </w:tcPr>
                <w:p w14:paraId="07304B76">
                  <w:pPr>
                    <w:pStyle w:val="49"/>
                    <w:rPr>
                      <w:color w:val="auto"/>
                    </w:rPr>
                  </w:pPr>
                  <w:r>
                    <w:rPr>
                      <w:color w:val="auto"/>
                    </w:rPr>
                    <w:t>经度</w:t>
                  </w:r>
                </w:p>
              </w:tc>
              <w:tc>
                <w:tcPr>
                  <w:tcW w:w="640" w:type="pct"/>
                  <w:tcBorders>
                    <w:tl2br w:val="nil"/>
                    <w:tr2bl w:val="nil"/>
                  </w:tcBorders>
                  <w:vAlign w:val="center"/>
                </w:tcPr>
                <w:p w14:paraId="3AE432FE">
                  <w:pPr>
                    <w:pStyle w:val="49"/>
                    <w:rPr>
                      <w:color w:val="auto"/>
                    </w:rPr>
                  </w:pPr>
                  <w:r>
                    <w:rPr>
                      <w:color w:val="auto"/>
                    </w:rPr>
                    <w:t>纬度</w:t>
                  </w:r>
                </w:p>
              </w:tc>
              <w:tc>
                <w:tcPr>
                  <w:tcW w:w="551" w:type="pct"/>
                  <w:tcBorders>
                    <w:tl2br w:val="nil"/>
                    <w:tr2bl w:val="nil"/>
                  </w:tcBorders>
                  <w:vAlign w:val="center"/>
                </w:tcPr>
                <w:p w14:paraId="1863178B">
                  <w:pPr>
                    <w:pStyle w:val="49"/>
                    <w:rPr>
                      <w:color w:val="auto"/>
                    </w:rPr>
                  </w:pPr>
                  <w:r>
                    <w:rPr>
                      <w:color w:val="auto"/>
                    </w:rPr>
                    <w:t>高度</w:t>
                  </w:r>
                </w:p>
                <w:p w14:paraId="7A154CE2">
                  <w:pPr>
                    <w:pStyle w:val="49"/>
                    <w:rPr>
                      <w:color w:val="auto"/>
                    </w:rPr>
                  </w:pPr>
                  <w:r>
                    <w:rPr>
                      <w:color w:val="auto"/>
                    </w:rPr>
                    <w:t>（m）</w:t>
                  </w:r>
                </w:p>
              </w:tc>
              <w:tc>
                <w:tcPr>
                  <w:tcW w:w="551" w:type="pct"/>
                  <w:tcBorders>
                    <w:tl2br w:val="nil"/>
                    <w:tr2bl w:val="nil"/>
                  </w:tcBorders>
                  <w:vAlign w:val="center"/>
                </w:tcPr>
                <w:p w14:paraId="0D9272C5">
                  <w:pPr>
                    <w:pStyle w:val="49"/>
                    <w:rPr>
                      <w:color w:val="auto"/>
                    </w:rPr>
                  </w:pPr>
                  <w:r>
                    <w:rPr>
                      <w:color w:val="auto"/>
                    </w:rPr>
                    <w:t>内径</w:t>
                  </w:r>
                </w:p>
                <w:p w14:paraId="04690025">
                  <w:pPr>
                    <w:pStyle w:val="49"/>
                    <w:rPr>
                      <w:color w:val="auto"/>
                    </w:rPr>
                  </w:pPr>
                  <w:r>
                    <w:rPr>
                      <w:color w:val="auto"/>
                    </w:rPr>
                    <w:t>（m）</w:t>
                  </w:r>
                </w:p>
              </w:tc>
              <w:tc>
                <w:tcPr>
                  <w:tcW w:w="551" w:type="pct"/>
                  <w:tcBorders>
                    <w:tl2br w:val="nil"/>
                    <w:tr2bl w:val="nil"/>
                  </w:tcBorders>
                  <w:vAlign w:val="center"/>
                </w:tcPr>
                <w:p w14:paraId="786B5627">
                  <w:pPr>
                    <w:pStyle w:val="49"/>
                    <w:rPr>
                      <w:color w:val="auto"/>
                    </w:rPr>
                  </w:pPr>
                  <w:r>
                    <w:rPr>
                      <w:color w:val="auto"/>
                    </w:rPr>
                    <w:t>温度</w:t>
                  </w:r>
                </w:p>
                <w:p w14:paraId="4D411540">
                  <w:pPr>
                    <w:pStyle w:val="49"/>
                    <w:rPr>
                      <w:color w:val="auto"/>
                    </w:rPr>
                  </w:pPr>
                  <w:r>
                    <w:rPr>
                      <w:color w:val="auto"/>
                    </w:rPr>
                    <w:t>（℃）</w:t>
                  </w:r>
                </w:p>
              </w:tc>
              <w:tc>
                <w:tcPr>
                  <w:tcW w:w="650" w:type="pct"/>
                  <w:vMerge w:val="continue"/>
                  <w:tcBorders>
                    <w:tl2br w:val="nil"/>
                    <w:tr2bl w:val="nil"/>
                  </w:tcBorders>
                  <w:vAlign w:val="center"/>
                </w:tcPr>
                <w:p w14:paraId="42856CEA">
                  <w:pPr>
                    <w:rPr>
                      <w:color w:val="auto"/>
                    </w:rPr>
                  </w:pPr>
                </w:p>
              </w:tc>
            </w:tr>
            <w:tr w14:paraId="4F73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4" w:type="pct"/>
                  <w:tcBorders>
                    <w:tl2br w:val="nil"/>
                    <w:tr2bl w:val="nil"/>
                  </w:tcBorders>
                  <w:vAlign w:val="center"/>
                </w:tcPr>
                <w:p w14:paraId="51E11C94">
                  <w:pPr>
                    <w:pStyle w:val="51"/>
                    <w:rPr>
                      <w:color w:val="auto"/>
                    </w:rPr>
                  </w:pPr>
                  <w:r>
                    <w:rPr>
                      <w:color w:val="auto"/>
                    </w:rPr>
                    <w:t>DA001</w:t>
                  </w:r>
                </w:p>
              </w:tc>
              <w:tc>
                <w:tcPr>
                  <w:tcW w:w="806" w:type="pct"/>
                  <w:tcBorders>
                    <w:tl2br w:val="nil"/>
                    <w:tr2bl w:val="nil"/>
                  </w:tcBorders>
                  <w:vAlign w:val="center"/>
                </w:tcPr>
                <w:p w14:paraId="318FF295">
                  <w:pPr>
                    <w:pStyle w:val="51"/>
                    <w:rPr>
                      <w:color w:val="auto"/>
                    </w:rPr>
                  </w:pPr>
                  <w:r>
                    <w:rPr>
                      <w:color w:val="auto"/>
                    </w:rPr>
                    <w:t>一般排放口</w:t>
                  </w:r>
                </w:p>
              </w:tc>
              <w:tc>
                <w:tcPr>
                  <w:tcW w:w="702" w:type="pct"/>
                  <w:tcBorders>
                    <w:tl2br w:val="nil"/>
                    <w:tr2bl w:val="nil"/>
                  </w:tcBorders>
                  <w:vAlign w:val="center"/>
                </w:tcPr>
                <w:p w14:paraId="0783FE4E">
                  <w:pPr>
                    <w:pStyle w:val="51"/>
                    <w:rPr>
                      <w:color w:val="auto"/>
                    </w:rPr>
                  </w:pPr>
                  <w:r>
                    <w:rPr>
                      <w:color w:val="auto"/>
                    </w:rPr>
                    <w:t>118°45′30.9581″</w:t>
                  </w:r>
                </w:p>
              </w:tc>
              <w:tc>
                <w:tcPr>
                  <w:tcW w:w="640" w:type="pct"/>
                  <w:tcBorders>
                    <w:tl2br w:val="nil"/>
                    <w:tr2bl w:val="nil"/>
                  </w:tcBorders>
                  <w:vAlign w:val="center"/>
                </w:tcPr>
                <w:p w14:paraId="6CE8510F">
                  <w:pPr>
                    <w:pStyle w:val="51"/>
                    <w:rPr>
                      <w:color w:val="auto"/>
                    </w:rPr>
                  </w:pPr>
                  <w:r>
                    <w:rPr>
                      <w:color w:val="auto"/>
                    </w:rPr>
                    <w:t>33°33′19.00</w:t>
                  </w:r>
                  <w:r>
                    <w:rPr>
                      <w:rFonts w:hint="eastAsia"/>
                      <w:color w:val="auto"/>
                    </w:rPr>
                    <w:t>1</w:t>
                  </w:r>
                  <w:r>
                    <w:rPr>
                      <w:color w:val="auto"/>
                    </w:rPr>
                    <w:t>″</w:t>
                  </w:r>
                </w:p>
              </w:tc>
              <w:tc>
                <w:tcPr>
                  <w:tcW w:w="551" w:type="pct"/>
                  <w:tcBorders>
                    <w:tl2br w:val="nil"/>
                    <w:tr2bl w:val="nil"/>
                  </w:tcBorders>
                  <w:vAlign w:val="center"/>
                </w:tcPr>
                <w:p w14:paraId="37C0DF9D">
                  <w:pPr>
                    <w:pStyle w:val="51"/>
                    <w:rPr>
                      <w:color w:val="auto"/>
                    </w:rPr>
                  </w:pPr>
                  <w:r>
                    <w:rPr>
                      <w:rFonts w:hint="eastAsia"/>
                      <w:color w:val="auto"/>
                    </w:rPr>
                    <w:t>15</w:t>
                  </w:r>
                </w:p>
              </w:tc>
              <w:tc>
                <w:tcPr>
                  <w:tcW w:w="551" w:type="pct"/>
                  <w:tcBorders>
                    <w:tl2br w:val="nil"/>
                    <w:tr2bl w:val="nil"/>
                  </w:tcBorders>
                  <w:vAlign w:val="center"/>
                </w:tcPr>
                <w:p w14:paraId="21ED9588">
                  <w:pPr>
                    <w:pStyle w:val="51"/>
                    <w:rPr>
                      <w:color w:val="auto"/>
                    </w:rPr>
                  </w:pPr>
                  <w:r>
                    <w:rPr>
                      <w:rFonts w:hint="eastAsia"/>
                      <w:color w:val="auto"/>
                    </w:rPr>
                    <w:t>0.65</w:t>
                  </w:r>
                </w:p>
              </w:tc>
              <w:tc>
                <w:tcPr>
                  <w:tcW w:w="551" w:type="pct"/>
                  <w:tcBorders>
                    <w:tl2br w:val="nil"/>
                    <w:tr2bl w:val="nil"/>
                  </w:tcBorders>
                  <w:vAlign w:val="center"/>
                </w:tcPr>
                <w:p w14:paraId="6299FDB0">
                  <w:pPr>
                    <w:pStyle w:val="51"/>
                    <w:rPr>
                      <w:color w:val="auto"/>
                    </w:rPr>
                  </w:pPr>
                  <w:r>
                    <w:rPr>
                      <w:color w:val="auto"/>
                    </w:rPr>
                    <w:t>25</w:t>
                  </w:r>
                </w:p>
              </w:tc>
              <w:tc>
                <w:tcPr>
                  <w:tcW w:w="650" w:type="pct"/>
                  <w:tcBorders>
                    <w:tl2br w:val="nil"/>
                    <w:tr2bl w:val="nil"/>
                  </w:tcBorders>
                  <w:vAlign w:val="center"/>
                </w:tcPr>
                <w:p w14:paraId="00C5A656">
                  <w:pPr>
                    <w:pStyle w:val="51"/>
                    <w:rPr>
                      <w:color w:val="auto"/>
                    </w:rPr>
                  </w:pPr>
                  <w:r>
                    <w:rPr>
                      <w:rFonts w:hint="eastAsia"/>
                      <w:color w:val="auto"/>
                    </w:rPr>
                    <w:t>15000</w:t>
                  </w:r>
                </w:p>
              </w:tc>
            </w:tr>
            <w:tr w14:paraId="2F55B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44" w:type="pct"/>
                  <w:tcBorders>
                    <w:tl2br w:val="nil"/>
                    <w:tr2bl w:val="nil"/>
                  </w:tcBorders>
                  <w:vAlign w:val="center"/>
                </w:tcPr>
                <w:p w14:paraId="77B72238">
                  <w:pPr>
                    <w:pStyle w:val="51"/>
                    <w:rPr>
                      <w:color w:val="auto"/>
                    </w:rPr>
                  </w:pPr>
                  <w:r>
                    <w:rPr>
                      <w:color w:val="auto"/>
                    </w:rPr>
                    <w:t>DA00</w:t>
                  </w:r>
                  <w:r>
                    <w:rPr>
                      <w:rFonts w:hint="eastAsia"/>
                      <w:color w:val="auto"/>
                    </w:rPr>
                    <w:t>2</w:t>
                  </w:r>
                </w:p>
              </w:tc>
              <w:tc>
                <w:tcPr>
                  <w:tcW w:w="806" w:type="pct"/>
                  <w:tcBorders>
                    <w:tl2br w:val="nil"/>
                    <w:tr2bl w:val="nil"/>
                  </w:tcBorders>
                  <w:vAlign w:val="center"/>
                </w:tcPr>
                <w:p w14:paraId="1AAD92A7">
                  <w:pPr>
                    <w:pStyle w:val="51"/>
                    <w:rPr>
                      <w:color w:val="auto"/>
                    </w:rPr>
                  </w:pPr>
                  <w:r>
                    <w:rPr>
                      <w:color w:val="auto"/>
                    </w:rPr>
                    <w:t>一般排放口</w:t>
                  </w:r>
                </w:p>
              </w:tc>
              <w:tc>
                <w:tcPr>
                  <w:tcW w:w="702" w:type="pct"/>
                  <w:tcBorders>
                    <w:tl2br w:val="nil"/>
                    <w:tr2bl w:val="nil"/>
                  </w:tcBorders>
                  <w:vAlign w:val="center"/>
                </w:tcPr>
                <w:p w14:paraId="4EDBCD76">
                  <w:pPr>
                    <w:pStyle w:val="51"/>
                    <w:rPr>
                      <w:color w:val="auto"/>
                    </w:rPr>
                  </w:pPr>
                  <w:r>
                    <w:rPr>
                      <w:color w:val="auto"/>
                    </w:rPr>
                    <w:t>118°45′31.3181″</w:t>
                  </w:r>
                </w:p>
              </w:tc>
              <w:tc>
                <w:tcPr>
                  <w:tcW w:w="640" w:type="pct"/>
                  <w:tcBorders>
                    <w:tl2br w:val="nil"/>
                    <w:tr2bl w:val="nil"/>
                  </w:tcBorders>
                  <w:vAlign w:val="center"/>
                </w:tcPr>
                <w:p w14:paraId="46170FAF">
                  <w:pPr>
                    <w:pStyle w:val="51"/>
                    <w:rPr>
                      <w:color w:val="auto"/>
                    </w:rPr>
                  </w:pPr>
                  <w:r>
                    <w:rPr>
                      <w:color w:val="auto"/>
                    </w:rPr>
                    <w:t>33°33′19.00</w:t>
                  </w:r>
                  <w:r>
                    <w:rPr>
                      <w:rFonts w:hint="eastAsia"/>
                      <w:color w:val="auto"/>
                    </w:rPr>
                    <w:t>1</w:t>
                  </w:r>
                  <w:r>
                    <w:rPr>
                      <w:color w:val="auto"/>
                    </w:rPr>
                    <w:t>″</w:t>
                  </w:r>
                </w:p>
              </w:tc>
              <w:tc>
                <w:tcPr>
                  <w:tcW w:w="551" w:type="pct"/>
                  <w:tcBorders>
                    <w:tl2br w:val="nil"/>
                    <w:tr2bl w:val="nil"/>
                  </w:tcBorders>
                  <w:vAlign w:val="center"/>
                </w:tcPr>
                <w:p w14:paraId="64348490">
                  <w:pPr>
                    <w:pStyle w:val="51"/>
                    <w:rPr>
                      <w:color w:val="auto"/>
                    </w:rPr>
                  </w:pPr>
                  <w:r>
                    <w:rPr>
                      <w:rFonts w:hint="eastAsia"/>
                      <w:color w:val="auto"/>
                    </w:rPr>
                    <w:t>15</w:t>
                  </w:r>
                </w:p>
              </w:tc>
              <w:tc>
                <w:tcPr>
                  <w:tcW w:w="551" w:type="pct"/>
                  <w:tcBorders>
                    <w:tl2br w:val="nil"/>
                    <w:tr2bl w:val="nil"/>
                  </w:tcBorders>
                  <w:vAlign w:val="center"/>
                </w:tcPr>
                <w:p w14:paraId="040CA598">
                  <w:pPr>
                    <w:pStyle w:val="51"/>
                    <w:rPr>
                      <w:color w:val="auto"/>
                    </w:rPr>
                  </w:pPr>
                  <w:r>
                    <w:rPr>
                      <w:rFonts w:hint="eastAsia"/>
                      <w:color w:val="auto"/>
                    </w:rPr>
                    <w:t>0.65</w:t>
                  </w:r>
                </w:p>
              </w:tc>
              <w:tc>
                <w:tcPr>
                  <w:tcW w:w="551" w:type="pct"/>
                  <w:tcBorders>
                    <w:tl2br w:val="nil"/>
                    <w:tr2bl w:val="nil"/>
                  </w:tcBorders>
                  <w:vAlign w:val="center"/>
                </w:tcPr>
                <w:p w14:paraId="2D6BF3E1">
                  <w:pPr>
                    <w:pStyle w:val="51"/>
                    <w:rPr>
                      <w:color w:val="auto"/>
                    </w:rPr>
                  </w:pPr>
                  <w:r>
                    <w:rPr>
                      <w:color w:val="auto"/>
                    </w:rPr>
                    <w:t>25</w:t>
                  </w:r>
                </w:p>
              </w:tc>
              <w:tc>
                <w:tcPr>
                  <w:tcW w:w="650" w:type="pct"/>
                  <w:tcBorders>
                    <w:tl2br w:val="nil"/>
                    <w:tr2bl w:val="nil"/>
                  </w:tcBorders>
                  <w:vAlign w:val="center"/>
                </w:tcPr>
                <w:p w14:paraId="1A0FBF08">
                  <w:pPr>
                    <w:pStyle w:val="51"/>
                    <w:rPr>
                      <w:color w:val="auto"/>
                    </w:rPr>
                  </w:pPr>
                  <w:r>
                    <w:rPr>
                      <w:rFonts w:hint="eastAsia"/>
                      <w:color w:val="auto"/>
                    </w:rPr>
                    <w:t>15000</w:t>
                  </w:r>
                </w:p>
              </w:tc>
            </w:tr>
            <w:tr w14:paraId="64F8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4" w:type="pct"/>
                  <w:tcBorders>
                    <w:tl2br w:val="nil"/>
                    <w:tr2bl w:val="nil"/>
                  </w:tcBorders>
                  <w:vAlign w:val="center"/>
                </w:tcPr>
                <w:p w14:paraId="25651778">
                  <w:pPr>
                    <w:pStyle w:val="51"/>
                    <w:rPr>
                      <w:color w:val="auto"/>
                    </w:rPr>
                  </w:pPr>
                  <w:r>
                    <w:rPr>
                      <w:color w:val="auto"/>
                    </w:rPr>
                    <w:t>DA00</w:t>
                  </w:r>
                  <w:r>
                    <w:rPr>
                      <w:rFonts w:hint="eastAsia"/>
                      <w:color w:val="auto"/>
                    </w:rPr>
                    <w:t>3</w:t>
                  </w:r>
                </w:p>
              </w:tc>
              <w:tc>
                <w:tcPr>
                  <w:tcW w:w="806" w:type="pct"/>
                  <w:tcBorders>
                    <w:tl2br w:val="nil"/>
                    <w:tr2bl w:val="nil"/>
                  </w:tcBorders>
                  <w:vAlign w:val="center"/>
                </w:tcPr>
                <w:p w14:paraId="049BD72C">
                  <w:pPr>
                    <w:pStyle w:val="51"/>
                    <w:rPr>
                      <w:color w:val="auto"/>
                    </w:rPr>
                  </w:pPr>
                  <w:r>
                    <w:rPr>
                      <w:color w:val="auto"/>
                    </w:rPr>
                    <w:t>一般排放口</w:t>
                  </w:r>
                </w:p>
              </w:tc>
              <w:tc>
                <w:tcPr>
                  <w:tcW w:w="702" w:type="pct"/>
                  <w:tcBorders>
                    <w:tl2br w:val="nil"/>
                    <w:tr2bl w:val="nil"/>
                  </w:tcBorders>
                  <w:vAlign w:val="center"/>
                </w:tcPr>
                <w:p w14:paraId="5EA8A087">
                  <w:pPr>
                    <w:pStyle w:val="51"/>
                    <w:rPr>
                      <w:color w:val="auto"/>
                    </w:rPr>
                  </w:pPr>
                  <w:r>
                    <w:rPr>
                      <w:color w:val="auto"/>
                    </w:rPr>
                    <w:t>118°45′31.678″</w:t>
                  </w:r>
                </w:p>
              </w:tc>
              <w:tc>
                <w:tcPr>
                  <w:tcW w:w="640" w:type="pct"/>
                  <w:tcBorders>
                    <w:tl2br w:val="nil"/>
                    <w:tr2bl w:val="nil"/>
                  </w:tcBorders>
                  <w:vAlign w:val="center"/>
                </w:tcPr>
                <w:p w14:paraId="50DF29E5">
                  <w:pPr>
                    <w:pStyle w:val="51"/>
                    <w:rPr>
                      <w:color w:val="auto"/>
                    </w:rPr>
                  </w:pPr>
                  <w:r>
                    <w:rPr>
                      <w:color w:val="auto"/>
                    </w:rPr>
                    <w:t>33°33′19.00</w:t>
                  </w:r>
                  <w:r>
                    <w:rPr>
                      <w:rFonts w:hint="eastAsia"/>
                      <w:color w:val="auto"/>
                    </w:rPr>
                    <w:t>1</w:t>
                  </w:r>
                  <w:r>
                    <w:rPr>
                      <w:color w:val="auto"/>
                    </w:rPr>
                    <w:t>″</w:t>
                  </w:r>
                </w:p>
              </w:tc>
              <w:tc>
                <w:tcPr>
                  <w:tcW w:w="551" w:type="pct"/>
                  <w:tcBorders>
                    <w:tl2br w:val="nil"/>
                    <w:tr2bl w:val="nil"/>
                  </w:tcBorders>
                  <w:vAlign w:val="center"/>
                </w:tcPr>
                <w:p w14:paraId="66CEAC69">
                  <w:pPr>
                    <w:pStyle w:val="51"/>
                    <w:rPr>
                      <w:color w:val="auto"/>
                    </w:rPr>
                  </w:pPr>
                  <w:r>
                    <w:rPr>
                      <w:rFonts w:hint="eastAsia"/>
                      <w:color w:val="auto"/>
                    </w:rPr>
                    <w:t>15</w:t>
                  </w:r>
                </w:p>
              </w:tc>
              <w:tc>
                <w:tcPr>
                  <w:tcW w:w="551" w:type="pct"/>
                  <w:tcBorders>
                    <w:tl2br w:val="nil"/>
                    <w:tr2bl w:val="nil"/>
                  </w:tcBorders>
                  <w:vAlign w:val="center"/>
                </w:tcPr>
                <w:p w14:paraId="194F7644">
                  <w:pPr>
                    <w:pStyle w:val="51"/>
                    <w:rPr>
                      <w:color w:val="auto"/>
                    </w:rPr>
                  </w:pPr>
                  <w:r>
                    <w:rPr>
                      <w:rFonts w:hint="eastAsia"/>
                      <w:color w:val="auto"/>
                    </w:rPr>
                    <w:t>0.65</w:t>
                  </w:r>
                </w:p>
              </w:tc>
              <w:tc>
                <w:tcPr>
                  <w:tcW w:w="551" w:type="pct"/>
                  <w:tcBorders>
                    <w:tl2br w:val="nil"/>
                    <w:tr2bl w:val="nil"/>
                  </w:tcBorders>
                  <w:vAlign w:val="center"/>
                </w:tcPr>
                <w:p w14:paraId="61A16343">
                  <w:pPr>
                    <w:pStyle w:val="51"/>
                    <w:rPr>
                      <w:color w:val="auto"/>
                    </w:rPr>
                  </w:pPr>
                  <w:r>
                    <w:rPr>
                      <w:color w:val="auto"/>
                    </w:rPr>
                    <w:t>25</w:t>
                  </w:r>
                </w:p>
              </w:tc>
              <w:tc>
                <w:tcPr>
                  <w:tcW w:w="650" w:type="pct"/>
                  <w:tcBorders>
                    <w:tl2br w:val="nil"/>
                    <w:tr2bl w:val="nil"/>
                  </w:tcBorders>
                  <w:vAlign w:val="center"/>
                </w:tcPr>
                <w:p w14:paraId="539FEE15">
                  <w:pPr>
                    <w:pStyle w:val="51"/>
                    <w:rPr>
                      <w:color w:val="auto"/>
                    </w:rPr>
                  </w:pPr>
                  <w:r>
                    <w:rPr>
                      <w:rFonts w:hint="eastAsia"/>
                      <w:color w:val="auto"/>
                    </w:rPr>
                    <w:t>15000</w:t>
                  </w:r>
                </w:p>
              </w:tc>
            </w:tr>
            <w:tr w14:paraId="6765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4" w:type="pct"/>
                  <w:tcBorders>
                    <w:tl2br w:val="nil"/>
                    <w:tr2bl w:val="nil"/>
                  </w:tcBorders>
                  <w:vAlign w:val="center"/>
                </w:tcPr>
                <w:p w14:paraId="7BAC4CA8">
                  <w:pPr>
                    <w:pStyle w:val="51"/>
                    <w:rPr>
                      <w:color w:val="auto"/>
                    </w:rPr>
                  </w:pPr>
                  <w:r>
                    <w:rPr>
                      <w:color w:val="auto"/>
                    </w:rPr>
                    <w:t>DA00</w:t>
                  </w:r>
                  <w:r>
                    <w:rPr>
                      <w:rFonts w:hint="eastAsia"/>
                      <w:color w:val="auto"/>
                    </w:rPr>
                    <w:t>4</w:t>
                  </w:r>
                </w:p>
              </w:tc>
              <w:tc>
                <w:tcPr>
                  <w:tcW w:w="806" w:type="pct"/>
                  <w:tcBorders>
                    <w:tl2br w:val="nil"/>
                    <w:tr2bl w:val="nil"/>
                  </w:tcBorders>
                  <w:vAlign w:val="center"/>
                </w:tcPr>
                <w:p w14:paraId="4E64F85B">
                  <w:pPr>
                    <w:pStyle w:val="51"/>
                    <w:rPr>
                      <w:color w:val="auto"/>
                    </w:rPr>
                  </w:pPr>
                  <w:r>
                    <w:rPr>
                      <w:color w:val="auto"/>
                    </w:rPr>
                    <w:t>一般排放口</w:t>
                  </w:r>
                </w:p>
              </w:tc>
              <w:tc>
                <w:tcPr>
                  <w:tcW w:w="702" w:type="pct"/>
                  <w:tcBorders>
                    <w:tl2br w:val="nil"/>
                    <w:tr2bl w:val="nil"/>
                  </w:tcBorders>
                  <w:vAlign w:val="center"/>
                </w:tcPr>
                <w:p w14:paraId="4FFC5E74">
                  <w:pPr>
                    <w:pStyle w:val="51"/>
                    <w:rPr>
                      <w:color w:val="auto"/>
                    </w:rPr>
                  </w:pPr>
                  <w:r>
                    <w:rPr>
                      <w:color w:val="auto"/>
                    </w:rPr>
                    <w:t>118°45′32.0381″</w:t>
                  </w:r>
                </w:p>
              </w:tc>
              <w:tc>
                <w:tcPr>
                  <w:tcW w:w="640" w:type="pct"/>
                  <w:tcBorders>
                    <w:tl2br w:val="nil"/>
                    <w:tr2bl w:val="nil"/>
                  </w:tcBorders>
                  <w:vAlign w:val="center"/>
                </w:tcPr>
                <w:p w14:paraId="1359F721">
                  <w:pPr>
                    <w:pStyle w:val="51"/>
                    <w:rPr>
                      <w:color w:val="auto"/>
                    </w:rPr>
                  </w:pPr>
                  <w:r>
                    <w:rPr>
                      <w:color w:val="auto"/>
                    </w:rPr>
                    <w:t>33°33′19.00</w:t>
                  </w:r>
                  <w:r>
                    <w:rPr>
                      <w:rFonts w:hint="eastAsia"/>
                      <w:color w:val="auto"/>
                    </w:rPr>
                    <w:t>1</w:t>
                  </w:r>
                  <w:r>
                    <w:rPr>
                      <w:color w:val="auto"/>
                    </w:rPr>
                    <w:t>″</w:t>
                  </w:r>
                </w:p>
              </w:tc>
              <w:tc>
                <w:tcPr>
                  <w:tcW w:w="551" w:type="pct"/>
                  <w:tcBorders>
                    <w:tl2br w:val="nil"/>
                    <w:tr2bl w:val="nil"/>
                  </w:tcBorders>
                  <w:vAlign w:val="center"/>
                </w:tcPr>
                <w:p w14:paraId="4627A0D1">
                  <w:pPr>
                    <w:pStyle w:val="51"/>
                    <w:rPr>
                      <w:color w:val="auto"/>
                    </w:rPr>
                  </w:pPr>
                  <w:r>
                    <w:rPr>
                      <w:rFonts w:hint="eastAsia"/>
                      <w:color w:val="auto"/>
                    </w:rPr>
                    <w:t>15</w:t>
                  </w:r>
                </w:p>
              </w:tc>
              <w:tc>
                <w:tcPr>
                  <w:tcW w:w="551" w:type="pct"/>
                  <w:tcBorders>
                    <w:tl2br w:val="nil"/>
                    <w:tr2bl w:val="nil"/>
                  </w:tcBorders>
                  <w:vAlign w:val="center"/>
                </w:tcPr>
                <w:p w14:paraId="326A3C7B">
                  <w:pPr>
                    <w:pStyle w:val="51"/>
                    <w:rPr>
                      <w:color w:val="auto"/>
                    </w:rPr>
                  </w:pPr>
                  <w:r>
                    <w:rPr>
                      <w:rFonts w:hint="eastAsia"/>
                      <w:color w:val="auto"/>
                    </w:rPr>
                    <w:t>0.65</w:t>
                  </w:r>
                </w:p>
              </w:tc>
              <w:tc>
                <w:tcPr>
                  <w:tcW w:w="551" w:type="pct"/>
                  <w:tcBorders>
                    <w:tl2br w:val="nil"/>
                    <w:tr2bl w:val="nil"/>
                  </w:tcBorders>
                  <w:vAlign w:val="center"/>
                </w:tcPr>
                <w:p w14:paraId="697E2114">
                  <w:pPr>
                    <w:pStyle w:val="51"/>
                    <w:rPr>
                      <w:color w:val="auto"/>
                    </w:rPr>
                  </w:pPr>
                  <w:r>
                    <w:rPr>
                      <w:color w:val="auto"/>
                    </w:rPr>
                    <w:t>25</w:t>
                  </w:r>
                </w:p>
              </w:tc>
              <w:tc>
                <w:tcPr>
                  <w:tcW w:w="650" w:type="pct"/>
                  <w:tcBorders>
                    <w:tl2br w:val="nil"/>
                    <w:tr2bl w:val="nil"/>
                  </w:tcBorders>
                  <w:vAlign w:val="center"/>
                </w:tcPr>
                <w:p w14:paraId="554201EA">
                  <w:pPr>
                    <w:pStyle w:val="51"/>
                    <w:rPr>
                      <w:color w:val="auto"/>
                    </w:rPr>
                  </w:pPr>
                  <w:r>
                    <w:rPr>
                      <w:rFonts w:hint="eastAsia"/>
                      <w:color w:val="auto"/>
                    </w:rPr>
                    <w:t>15000</w:t>
                  </w:r>
                </w:p>
              </w:tc>
            </w:tr>
          </w:tbl>
          <w:p w14:paraId="564CA973">
            <w:pPr>
              <w:pStyle w:val="47"/>
              <w:ind w:firstLine="482"/>
              <w:rPr>
                <w:b/>
                <w:bCs/>
                <w:color w:val="auto"/>
              </w:rPr>
            </w:pPr>
            <w:r>
              <w:rPr>
                <w:b/>
                <w:bCs/>
                <w:color w:val="auto"/>
              </w:rPr>
              <w:t>（3）废气污染治理设施可行性分析</w:t>
            </w:r>
          </w:p>
          <w:p w14:paraId="63A5D162">
            <w:pPr>
              <w:pStyle w:val="47"/>
              <w:ind w:firstLine="480"/>
              <w:rPr>
                <w:color w:val="auto"/>
              </w:rPr>
            </w:pPr>
            <w:r>
              <w:rPr>
                <w:color w:val="auto"/>
              </w:rPr>
              <w:t>本项目产生的</w:t>
            </w:r>
            <w:r>
              <w:rPr>
                <w:rFonts w:hint="eastAsia"/>
                <w:color w:val="auto"/>
              </w:rPr>
              <w:t>加弹废气（NMHC）、危废仓库废气（NMHC）</w:t>
            </w:r>
            <w:r>
              <w:rPr>
                <w:color w:val="auto"/>
              </w:rPr>
              <w:t>经</w:t>
            </w:r>
            <w:r>
              <w:rPr>
                <w:rFonts w:hint="eastAsia"/>
                <w:color w:val="auto"/>
              </w:rPr>
              <w:t>管道收集</w:t>
            </w:r>
            <w:r>
              <w:rPr>
                <w:color w:val="auto"/>
              </w:rPr>
              <w:t>后由</w:t>
            </w:r>
            <w:r>
              <w:rPr>
                <w:rFonts w:hint="eastAsia"/>
                <w:color w:val="auto"/>
              </w:rPr>
              <w:t>高压静电油烟净化器处理后</w:t>
            </w:r>
            <w:r>
              <w:rPr>
                <w:color w:val="auto"/>
              </w:rPr>
              <w:t>通过15m高排气筒排放</w:t>
            </w:r>
            <w:r>
              <w:rPr>
                <w:rFonts w:hint="eastAsia"/>
                <w:color w:val="auto"/>
              </w:rPr>
              <w:t>。</w:t>
            </w:r>
          </w:p>
          <w:p w14:paraId="371C7073">
            <w:pPr>
              <w:pStyle w:val="47"/>
              <w:ind w:firstLine="480"/>
              <w:rPr>
                <w:color w:val="auto"/>
              </w:rPr>
            </w:pPr>
            <w:r>
              <w:rPr>
                <w:rFonts w:hint="eastAsia"/>
                <w:color w:val="auto"/>
              </w:rPr>
              <w:t>高压静电油烟净化器</w:t>
            </w:r>
            <w:r>
              <w:rPr>
                <w:color w:val="auto"/>
              </w:rPr>
              <w:t>是一种用于净化油雾的设备，其工作原理是利用静电场的作用，将油雾中的微小颗粒物吸附在电极上，从而实现油雾的净化。</w:t>
            </w:r>
            <w:r>
              <w:rPr>
                <w:rFonts w:hint="eastAsia"/>
                <w:color w:val="auto"/>
              </w:rPr>
              <w:t>高压静电油烟净化器</w:t>
            </w:r>
            <w:r>
              <w:rPr>
                <w:color w:val="auto"/>
              </w:rPr>
              <w:t>内部由许多电极组成，电极之间形成静电场。当含有油雾的空气经过静电场时，空气中的微小颗粒物就会受到静电场的作用力，向电极移动并吸附在电极上。</w:t>
            </w:r>
            <w:r>
              <w:rPr>
                <w:rFonts w:hint="eastAsia"/>
                <w:color w:val="auto"/>
              </w:rPr>
              <w:t>高压静电油烟净化器</w:t>
            </w:r>
            <w:r>
              <w:rPr>
                <w:color w:val="auto"/>
              </w:rPr>
              <w:t>的吸附原理主要是基于电场力的作用。由于微小颗粒物带有电荷，因此在静电场的作用下，它们会受到电场力的作用而向电极移动。同时，由于电极上带有相反的电荷，因此微小颗粒物会被相反的电荷所吸引，从而吸附在电极上。当含有油雾的空气经过静电场时，油雾中的微小颗粒物就会被吸附在电极上。随着时间的推移，电极上会积累大量的颗粒物，导致电极之间的阻力增加。这时，净化器会将电极上的颗粒物清除下来，从而继续净化空气。</w:t>
            </w:r>
          </w:p>
          <w:p w14:paraId="7232A3B4">
            <w:pPr>
              <w:pStyle w:val="47"/>
              <w:ind w:firstLine="480"/>
              <w:rPr>
                <w:color w:val="auto"/>
              </w:rPr>
            </w:pPr>
            <w:r>
              <w:rPr>
                <w:color w:val="auto"/>
              </w:rPr>
              <w:t>根据《纺织工业污染防治可行技术指南》</w:t>
            </w:r>
            <w:r>
              <w:rPr>
                <w:rFonts w:hint="eastAsia"/>
                <w:color w:val="auto"/>
              </w:rPr>
              <w:t>（</w:t>
            </w:r>
            <w:r>
              <w:rPr>
                <w:color w:val="auto"/>
              </w:rPr>
              <w:t>HJ 1177-2021</w:t>
            </w:r>
            <w:r>
              <w:rPr>
                <w:rFonts w:hint="eastAsia"/>
                <w:color w:val="auto"/>
              </w:rPr>
              <w:t>）</w:t>
            </w:r>
            <w:r>
              <w:rPr>
                <w:color w:val="auto"/>
              </w:rPr>
              <w:t>，</w:t>
            </w:r>
            <w:r>
              <w:rPr>
                <w:rFonts w:hint="eastAsia"/>
                <w:color w:val="auto"/>
              </w:rPr>
              <w:t>热定形废气适用于静电处理技术处理</w:t>
            </w:r>
            <w:r>
              <w:rPr>
                <w:color w:val="auto"/>
              </w:rPr>
              <w:t>。</w:t>
            </w:r>
            <w:r>
              <w:rPr>
                <w:rFonts w:hint="eastAsia"/>
                <w:color w:val="auto"/>
              </w:rPr>
              <w:t>同时，参考《江苏辉驰纺织科技有限公司年产6000万米化纤面料项目（第一阶段）竣工环境保护验收报告》，该项目采用静电吸附装置处理加弹废气。加弹废气有组织排放</w:t>
            </w:r>
            <w:r>
              <w:rPr>
                <w:color w:val="auto"/>
              </w:rPr>
              <w:t>监测</w:t>
            </w:r>
            <w:r>
              <w:rPr>
                <w:rFonts w:hint="eastAsia"/>
                <w:color w:val="auto"/>
              </w:rPr>
              <w:t>数据详见</w:t>
            </w:r>
            <w:r>
              <w:rPr>
                <w:rFonts w:hint="eastAsia"/>
                <w:color w:val="auto"/>
              </w:rPr>
              <w:fldChar w:fldCharType="begin"/>
            </w:r>
            <w:r>
              <w:rPr>
                <w:rFonts w:hint="eastAsia"/>
                <w:color w:val="auto"/>
              </w:rPr>
              <w:instrText xml:space="preserve"> REF _Ref11566 \h </w:instrText>
            </w:r>
            <w:r>
              <w:rPr>
                <w:rFonts w:hint="eastAsia"/>
                <w:color w:val="auto"/>
              </w:rPr>
              <w:fldChar w:fldCharType="separate"/>
            </w:r>
            <w:r>
              <w:rPr>
                <w:color w:val="auto"/>
              </w:rPr>
              <w:t>表4- 4</w:t>
            </w:r>
            <w:r>
              <w:rPr>
                <w:rFonts w:hint="eastAsia"/>
                <w:color w:val="auto"/>
              </w:rPr>
              <w:fldChar w:fldCharType="end"/>
            </w:r>
            <w:r>
              <w:rPr>
                <w:rFonts w:hint="eastAsia"/>
                <w:color w:val="auto"/>
              </w:rPr>
              <w:t>。</w:t>
            </w:r>
            <w:bookmarkStart w:id="50" w:name="_Ref8318"/>
            <w:bookmarkStart w:id="51" w:name="_Ref8240"/>
            <w:r>
              <w:rPr>
                <w:rFonts w:hint="eastAsia"/>
                <w:color w:val="auto"/>
              </w:rPr>
              <w:t>根据监测数据，</w:t>
            </w:r>
            <w:r>
              <w:rPr>
                <w:color w:val="auto"/>
              </w:rPr>
              <w:t>辉驰</w:t>
            </w:r>
            <w:r>
              <w:rPr>
                <w:rFonts w:hint="eastAsia"/>
                <w:color w:val="auto"/>
              </w:rPr>
              <w:t>项目</w:t>
            </w:r>
            <w:r>
              <w:rPr>
                <w:color w:val="auto"/>
              </w:rPr>
              <w:t>采用油烟净化器处理加弹废气</w:t>
            </w:r>
            <w:r>
              <w:rPr>
                <w:rFonts w:hint="eastAsia"/>
                <w:color w:val="auto"/>
              </w:rPr>
              <w:t>平均去除效率约为90.3</w:t>
            </w:r>
            <w:r>
              <w:rPr>
                <w:color w:val="auto"/>
              </w:rPr>
              <w:t>%</w:t>
            </w:r>
            <w:r>
              <w:rPr>
                <w:rFonts w:hint="eastAsia"/>
                <w:color w:val="auto"/>
              </w:rPr>
              <w:t>。</w:t>
            </w:r>
          </w:p>
          <w:p w14:paraId="21E9341B">
            <w:pPr>
              <w:pStyle w:val="7"/>
              <w:rPr>
                <w:color w:val="auto"/>
              </w:rPr>
            </w:pPr>
            <w:bookmarkStart w:id="52" w:name="_Ref21398"/>
          </w:p>
          <w:p w14:paraId="111841B6">
            <w:pPr>
              <w:pStyle w:val="7"/>
              <w:rPr>
                <w:color w:val="auto"/>
              </w:rPr>
            </w:pPr>
          </w:p>
          <w:p w14:paraId="6685C26E">
            <w:pPr>
              <w:pStyle w:val="7"/>
              <w:rPr>
                <w:color w:val="auto"/>
              </w:rPr>
            </w:pPr>
          </w:p>
          <w:p w14:paraId="19F90225">
            <w:pPr>
              <w:pStyle w:val="7"/>
              <w:rPr>
                <w:color w:val="auto"/>
              </w:rPr>
            </w:pPr>
            <w:bookmarkStart w:id="53" w:name="_Ref11566"/>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4</w:t>
            </w:r>
            <w:r>
              <w:rPr>
                <w:color w:val="auto"/>
              </w:rPr>
              <w:fldChar w:fldCharType="end"/>
            </w:r>
            <w:bookmarkEnd w:id="50"/>
            <w:bookmarkEnd w:id="52"/>
            <w:bookmarkEnd w:id="53"/>
            <w:r>
              <w:rPr>
                <w:color w:val="auto"/>
              </w:rPr>
              <w:t xml:space="preserve"> </w:t>
            </w:r>
            <w:bookmarkEnd w:id="51"/>
            <w:r>
              <w:rPr>
                <w:rFonts w:hint="eastAsia"/>
                <w:color w:val="auto"/>
              </w:rPr>
              <w:t>辉驰项目加弹废气有组织排放监测结果与评价</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861"/>
              <w:gridCol w:w="853"/>
              <w:gridCol w:w="1157"/>
              <w:gridCol w:w="1464"/>
              <w:gridCol w:w="1464"/>
              <w:gridCol w:w="1466"/>
            </w:tblGrid>
            <w:tr w14:paraId="4ABF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692" w:type="pct"/>
                  <w:vMerge w:val="restart"/>
                  <w:vAlign w:val="center"/>
                </w:tcPr>
                <w:p w14:paraId="102A1996">
                  <w:pPr>
                    <w:pStyle w:val="49"/>
                    <w:rPr>
                      <w:rFonts w:cs="Calibri"/>
                      <w:color w:val="auto"/>
                    </w:rPr>
                  </w:pPr>
                  <w:r>
                    <w:rPr>
                      <w:rFonts w:hint="eastAsia" w:cs="Calibri"/>
                      <w:color w:val="auto"/>
                    </w:rPr>
                    <w:t>监测</w:t>
                  </w:r>
                  <w:r>
                    <w:rPr>
                      <w:rFonts w:cs="Calibri"/>
                      <w:color w:val="auto"/>
                    </w:rPr>
                    <w:t>点位</w:t>
                  </w:r>
                </w:p>
              </w:tc>
              <w:tc>
                <w:tcPr>
                  <w:tcW w:w="510" w:type="pct"/>
                  <w:vMerge w:val="restart"/>
                  <w:vAlign w:val="center"/>
                </w:tcPr>
                <w:p w14:paraId="16861D7F">
                  <w:pPr>
                    <w:pStyle w:val="49"/>
                    <w:rPr>
                      <w:rFonts w:cs="Calibri"/>
                      <w:color w:val="auto"/>
                    </w:rPr>
                  </w:pPr>
                  <w:r>
                    <w:rPr>
                      <w:rFonts w:hint="eastAsia" w:cs="Calibri"/>
                      <w:color w:val="auto"/>
                    </w:rPr>
                    <w:t>监测</w:t>
                  </w:r>
                </w:p>
                <w:p w14:paraId="3829823C">
                  <w:pPr>
                    <w:pStyle w:val="49"/>
                    <w:rPr>
                      <w:rFonts w:cs="Calibri"/>
                      <w:color w:val="auto"/>
                    </w:rPr>
                  </w:pPr>
                  <w:r>
                    <w:rPr>
                      <w:rFonts w:cs="Calibri"/>
                      <w:color w:val="auto"/>
                    </w:rPr>
                    <w:t>项目</w:t>
                  </w:r>
                </w:p>
              </w:tc>
              <w:tc>
                <w:tcPr>
                  <w:tcW w:w="506" w:type="pct"/>
                  <w:vMerge w:val="restart"/>
                  <w:vAlign w:val="center"/>
                </w:tcPr>
                <w:p w14:paraId="4F9B2470">
                  <w:pPr>
                    <w:pStyle w:val="49"/>
                    <w:rPr>
                      <w:rFonts w:cs="Calibri"/>
                      <w:color w:val="auto"/>
                    </w:rPr>
                  </w:pPr>
                  <w:r>
                    <w:rPr>
                      <w:rFonts w:hint="eastAsia" w:cs="Calibri"/>
                      <w:color w:val="auto"/>
                    </w:rPr>
                    <w:t>监测</w:t>
                  </w:r>
                </w:p>
                <w:p w14:paraId="5E6C809C">
                  <w:pPr>
                    <w:pStyle w:val="49"/>
                    <w:rPr>
                      <w:rFonts w:cs="Calibri"/>
                      <w:color w:val="auto"/>
                    </w:rPr>
                  </w:pPr>
                  <w:r>
                    <w:rPr>
                      <w:rFonts w:hint="eastAsia" w:cs="Calibri"/>
                      <w:color w:val="auto"/>
                    </w:rPr>
                    <w:t>时间</w:t>
                  </w:r>
                </w:p>
              </w:tc>
              <w:tc>
                <w:tcPr>
                  <w:tcW w:w="684" w:type="pct"/>
                  <w:vMerge w:val="restart"/>
                  <w:vAlign w:val="center"/>
                </w:tcPr>
                <w:p w14:paraId="59E73E9B">
                  <w:pPr>
                    <w:pStyle w:val="49"/>
                    <w:rPr>
                      <w:rFonts w:cs="Calibri"/>
                      <w:color w:val="auto"/>
                    </w:rPr>
                  </w:pPr>
                  <w:r>
                    <w:rPr>
                      <w:rFonts w:hint="eastAsia" w:cs="Calibri"/>
                      <w:color w:val="auto"/>
                    </w:rPr>
                    <w:t>监测</w:t>
                  </w:r>
                  <w:r>
                    <w:rPr>
                      <w:rFonts w:cs="Calibri"/>
                      <w:color w:val="auto"/>
                    </w:rPr>
                    <w:t>频次</w:t>
                  </w:r>
                </w:p>
              </w:tc>
              <w:tc>
                <w:tcPr>
                  <w:tcW w:w="2605" w:type="pct"/>
                  <w:gridSpan w:val="3"/>
                  <w:vAlign w:val="center"/>
                </w:tcPr>
                <w:p w14:paraId="5F35FE5D">
                  <w:pPr>
                    <w:pStyle w:val="49"/>
                    <w:rPr>
                      <w:rFonts w:cs="Calibri"/>
                      <w:color w:val="auto"/>
                    </w:rPr>
                  </w:pPr>
                  <w:r>
                    <w:rPr>
                      <w:rFonts w:hint="eastAsia" w:cs="Calibri"/>
                      <w:color w:val="auto"/>
                    </w:rPr>
                    <w:t>监测结果</w:t>
                  </w:r>
                </w:p>
              </w:tc>
            </w:tr>
            <w:tr w14:paraId="1B08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92" w:type="pct"/>
                  <w:vMerge w:val="continue"/>
                  <w:vAlign w:val="center"/>
                </w:tcPr>
                <w:p w14:paraId="3716EF06">
                  <w:pPr>
                    <w:pStyle w:val="49"/>
                    <w:rPr>
                      <w:rFonts w:cs="Calibri"/>
                      <w:color w:val="auto"/>
                    </w:rPr>
                  </w:pPr>
                </w:p>
              </w:tc>
              <w:tc>
                <w:tcPr>
                  <w:tcW w:w="510" w:type="pct"/>
                  <w:vMerge w:val="continue"/>
                  <w:vAlign w:val="center"/>
                </w:tcPr>
                <w:p w14:paraId="7AAFDEBB">
                  <w:pPr>
                    <w:pStyle w:val="49"/>
                    <w:rPr>
                      <w:rFonts w:cs="Calibri"/>
                      <w:color w:val="auto"/>
                    </w:rPr>
                  </w:pPr>
                </w:p>
              </w:tc>
              <w:tc>
                <w:tcPr>
                  <w:tcW w:w="506" w:type="pct"/>
                  <w:vMerge w:val="continue"/>
                  <w:vAlign w:val="center"/>
                </w:tcPr>
                <w:p w14:paraId="1906C011">
                  <w:pPr>
                    <w:pStyle w:val="49"/>
                    <w:rPr>
                      <w:rFonts w:cs="Calibri"/>
                      <w:color w:val="auto"/>
                    </w:rPr>
                  </w:pPr>
                </w:p>
              </w:tc>
              <w:tc>
                <w:tcPr>
                  <w:tcW w:w="684" w:type="pct"/>
                  <w:vMerge w:val="continue"/>
                  <w:vAlign w:val="center"/>
                </w:tcPr>
                <w:p w14:paraId="2BD9BB52">
                  <w:pPr>
                    <w:pStyle w:val="49"/>
                    <w:rPr>
                      <w:rFonts w:cs="Calibri"/>
                      <w:color w:val="auto"/>
                    </w:rPr>
                  </w:pPr>
                </w:p>
              </w:tc>
              <w:tc>
                <w:tcPr>
                  <w:tcW w:w="868" w:type="pct"/>
                  <w:vAlign w:val="center"/>
                </w:tcPr>
                <w:p w14:paraId="6BA8671A">
                  <w:pPr>
                    <w:pStyle w:val="49"/>
                    <w:rPr>
                      <w:rFonts w:cs="Calibri"/>
                      <w:color w:val="auto"/>
                    </w:rPr>
                  </w:pPr>
                  <w:r>
                    <w:rPr>
                      <w:rFonts w:cs="Calibri"/>
                      <w:color w:val="auto"/>
                    </w:rPr>
                    <w:t>标干流量</w:t>
                  </w:r>
                  <w:r>
                    <w:rPr>
                      <w:rFonts w:hint="eastAsia" w:cs="Calibri"/>
                      <w:color w:val="auto"/>
                    </w:rPr>
                    <w:t>（</w:t>
                  </w:r>
                  <w:r>
                    <w:rPr>
                      <w:rFonts w:cs="Calibri"/>
                      <w:color w:val="auto"/>
                    </w:rPr>
                    <w:t>m</w:t>
                  </w:r>
                  <w:r>
                    <w:rPr>
                      <w:rFonts w:cs="Calibri"/>
                      <w:color w:val="auto"/>
                      <w:vertAlign w:val="superscript"/>
                    </w:rPr>
                    <w:t>3</w:t>
                  </w:r>
                  <w:r>
                    <w:rPr>
                      <w:rFonts w:cs="Calibri"/>
                      <w:color w:val="auto"/>
                    </w:rPr>
                    <w:t>/h</w:t>
                  </w:r>
                  <w:r>
                    <w:rPr>
                      <w:rFonts w:hint="eastAsia" w:cs="Calibri"/>
                      <w:color w:val="auto"/>
                    </w:rPr>
                    <w:t>）</w:t>
                  </w:r>
                </w:p>
              </w:tc>
              <w:tc>
                <w:tcPr>
                  <w:tcW w:w="868" w:type="pct"/>
                  <w:vAlign w:val="center"/>
                </w:tcPr>
                <w:p w14:paraId="597116FE">
                  <w:pPr>
                    <w:pStyle w:val="49"/>
                    <w:rPr>
                      <w:rFonts w:cs="Calibri"/>
                      <w:color w:val="auto"/>
                    </w:rPr>
                  </w:pPr>
                  <w:r>
                    <w:rPr>
                      <w:rFonts w:cs="Calibri"/>
                      <w:color w:val="auto"/>
                    </w:rPr>
                    <w:t>排放浓度</w:t>
                  </w:r>
                </w:p>
                <w:p w14:paraId="4B5F0856">
                  <w:pPr>
                    <w:pStyle w:val="49"/>
                    <w:rPr>
                      <w:rFonts w:cs="Calibri"/>
                      <w:color w:val="auto"/>
                    </w:rPr>
                  </w:pPr>
                  <w:r>
                    <w:rPr>
                      <w:rFonts w:hint="eastAsia" w:cs="Calibri"/>
                      <w:color w:val="auto"/>
                    </w:rPr>
                    <w:t>（</w:t>
                  </w:r>
                  <w:r>
                    <w:rPr>
                      <w:rFonts w:cs="Calibri"/>
                      <w:color w:val="auto"/>
                    </w:rPr>
                    <w:t>mg/m</w:t>
                  </w:r>
                  <w:r>
                    <w:rPr>
                      <w:rFonts w:cs="Calibri"/>
                      <w:color w:val="auto"/>
                      <w:vertAlign w:val="superscript"/>
                    </w:rPr>
                    <w:t>3</w:t>
                  </w:r>
                  <w:r>
                    <w:rPr>
                      <w:rFonts w:hint="eastAsia" w:cs="Calibri"/>
                      <w:color w:val="auto"/>
                    </w:rPr>
                    <w:t>）</w:t>
                  </w:r>
                </w:p>
              </w:tc>
              <w:tc>
                <w:tcPr>
                  <w:tcW w:w="869" w:type="pct"/>
                  <w:vAlign w:val="center"/>
                </w:tcPr>
                <w:p w14:paraId="5A93F02A">
                  <w:pPr>
                    <w:pStyle w:val="49"/>
                    <w:rPr>
                      <w:rFonts w:cs="Calibri"/>
                      <w:color w:val="auto"/>
                    </w:rPr>
                  </w:pPr>
                  <w:r>
                    <w:rPr>
                      <w:rFonts w:cs="Calibri"/>
                      <w:color w:val="auto"/>
                    </w:rPr>
                    <w:t>排放速率</w:t>
                  </w:r>
                </w:p>
                <w:p w14:paraId="51C1F484">
                  <w:pPr>
                    <w:pStyle w:val="49"/>
                    <w:rPr>
                      <w:rFonts w:cs="Calibri"/>
                      <w:color w:val="auto"/>
                    </w:rPr>
                  </w:pPr>
                  <w:r>
                    <w:rPr>
                      <w:rFonts w:hint="eastAsia" w:cs="Calibri"/>
                      <w:color w:val="auto"/>
                    </w:rPr>
                    <w:t>（</w:t>
                  </w:r>
                  <w:r>
                    <w:rPr>
                      <w:rFonts w:cs="Calibri"/>
                      <w:color w:val="auto"/>
                    </w:rPr>
                    <w:t>kg/h</w:t>
                  </w:r>
                  <w:r>
                    <w:rPr>
                      <w:rFonts w:hint="eastAsia" w:cs="Calibri"/>
                      <w:color w:val="auto"/>
                    </w:rPr>
                    <w:t>）</w:t>
                  </w:r>
                </w:p>
              </w:tc>
            </w:tr>
            <w:tr w14:paraId="1768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pct"/>
                  <w:vMerge w:val="restart"/>
                  <w:vAlign w:val="center"/>
                </w:tcPr>
                <w:p w14:paraId="1C1E22EE">
                  <w:pPr>
                    <w:pStyle w:val="51"/>
                    <w:rPr>
                      <w:rFonts w:cs="Calibri"/>
                      <w:color w:val="auto"/>
                    </w:rPr>
                  </w:pPr>
                  <w:r>
                    <w:rPr>
                      <w:rFonts w:hint="eastAsia" w:cs="Calibri"/>
                      <w:color w:val="auto"/>
                    </w:rPr>
                    <w:t>加弹</w:t>
                  </w:r>
                  <w:r>
                    <w:rPr>
                      <w:rFonts w:cs="Calibri"/>
                      <w:color w:val="auto"/>
                    </w:rPr>
                    <w:t>废气进口◎</w:t>
                  </w:r>
                  <w:r>
                    <w:rPr>
                      <w:rFonts w:hint="eastAsia" w:cs="Calibri"/>
                      <w:color w:val="auto"/>
                    </w:rPr>
                    <w:t>1</w:t>
                  </w:r>
                </w:p>
              </w:tc>
              <w:tc>
                <w:tcPr>
                  <w:tcW w:w="510" w:type="pct"/>
                  <w:vMerge w:val="restart"/>
                  <w:vAlign w:val="center"/>
                </w:tcPr>
                <w:p w14:paraId="3362A322">
                  <w:pPr>
                    <w:pStyle w:val="51"/>
                    <w:rPr>
                      <w:rFonts w:cs="Calibri"/>
                      <w:color w:val="auto"/>
                    </w:rPr>
                  </w:pPr>
                  <w:r>
                    <w:rPr>
                      <w:rFonts w:cs="Calibri"/>
                      <w:color w:val="auto"/>
                    </w:rPr>
                    <w:t>VOCs</w:t>
                  </w:r>
                </w:p>
              </w:tc>
              <w:tc>
                <w:tcPr>
                  <w:tcW w:w="506" w:type="pct"/>
                  <w:vMerge w:val="restart"/>
                  <w:vAlign w:val="center"/>
                </w:tcPr>
                <w:p w14:paraId="10B7EAC6">
                  <w:pPr>
                    <w:pStyle w:val="51"/>
                    <w:rPr>
                      <w:rFonts w:cs="Calibri"/>
                      <w:color w:val="auto"/>
                    </w:rPr>
                  </w:pPr>
                  <w:r>
                    <w:rPr>
                      <w:rFonts w:hint="eastAsia" w:cs="Calibri"/>
                      <w:color w:val="auto"/>
                    </w:rPr>
                    <w:t>2021年</w:t>
                  </w:r>
                  <w:r>
                    <w:rPr>
                      <w:rFonts w:cs="Calibri"/>
                      <w:color w:val="auto"/>
                    </w:rPr>
                    <w:t>4月8日</w:t>
                  </w:r>
                </w:p>
              </w:tc>
              <w:tc>
                <w:tcPr>
                  <w:tcW w:w="684" w:type="pct"/>
                  <w:vAlign w:val="center"/>
                </w:tcPr>
                <w:p w14:paraId="2FA47C44">
                  <w:pPr>
                    <w:pStyle w:val="51"/>
                    <w:rPr>
                      <w:rFonts w:cs="Calibri"/>
                      <w:color w:val="auto"/>
                    </w:rPr>
                  </w:pPr>
                  <w:r>
                    <w:rPr>
                      <w:rFonts w:cs="Calibri"/>
                      <w:color w:val="auto"/>
                    </w:rPr>
                    <w:t>第一次</w:t>
                  </w:r>
                </w:p>
              </w:tc>
              <w:tc>
                <w:tcPr>
                  <w:tcW w:w="868" w:type="pct"/>
                  <w:vAlign w:val="center"/>
                </w:tcPr>
                <w:p w14:paraId="1BA94157">
                  <w:pPr>
                    <w:pStyle w:val="51"/>
                    <w:rPr>
                      <w:rFonts w:cs="Calibri"/>
                      <w:color w:val="auto"/>
                    </w:rPr>
                  </w:pPr>
                  <w:r>
                    <w:rPr>
                      <w:rFonts w:cs="Calibri"/>
                      <w:color w:val="auto"/>
                    </w:rPr>
                    <w:t>13983</w:t>
                  </w:r>
                </w:p>
              </w:tc>
              <w:tc>
                <w:tcPr>
                  <w:tcW w:w="868" w:type="pct"/>
                  <w:vAlign w:val="center"/>
                </w:tcPr>
                <w:p w14:paraId="167F02A2">
                  <w:pPr>
                    <w:pStyle w:val="51"/>
                    <w:rPr>
                      <w:rFonts w:cs="Calibri"/>
                      <w:color w:val="auto"/>
                    </w:rPr>
                  </w:pPr>
                  <w:r>
                    <w:rPr>
                      <w:rFonts w:cs="Calibri"/>
                      <w:color w:val="auto"/>
                    </w:rPr>
                    <w:t>1.39</w:t>
                  </w:r>
                </w:p>
              </w:tc>
              <w:tc>
                <w:tcPr>
                  <w:tcW w:w="869" w:type="pct"/>
                  <w:vAlign w:val="center"/>
                </w:tcPr>
                <w:p w14:paraId="79D88F36">
                  <w:pPr>
                    <w:pStyle w:val="51"/>
                    <w:rPr>
                      <w:rFonts w:cs="Calibri"/>
                      <w:color w:val="auto"/>
                    </w:rPr>
                  </w:pPr>
                  <w:r>
                    <w:rPr>
                      <w:rFonts w:cs="Calibri"/>
                      <w:color w:val="auto"/>
                    </w:rPr>
                    <w:t>1.94×10</w:t>
                  </w:r>
                  <w:r>
                    <w:rPr>
                      <w:rFonts w:cs="Calibri"/>
                      <w:color w:val="auto"/>
                      <w:vertAlign w:val="superscript"/>
                    </w:rPr>
                    <w:t>-2</w:t>
                  </w:r>
                </w:p>
              </w:tc>
            </w:tr>
            <w:tr w14:paraId="00F1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pct"/>
                  <w:vMerge w:val="continue"/>
                  <w:vAlign w:val="center"/>
                </w:tcPr>
                <w:p w14:paraId="17600D4F">
                  <w:pPr>
                    <w:pStyle w:val="51"/>
                    <w:rPr>
                      <w:rFonts w:cs="Calibri"/>
                      <w:color w:val="auto"/>
                    </w:rPr>
                  </w:pPr>
                </w:p>
              </w:tc>
              <w:tc>
                <w:tcPr>
                  <w:tcW w:w="510" w:type="pct"/>
                  <w:vMerge w:val="continue"/>
                  <w:vAlign w:val="center"/>
                </w:tcPr>
                <w:p w14:paraId="419C5B77">
                  <w:pPr>
                    <w:pStyle w:val="51"/>
                    <w:rPr>
                      <w:rFonts w:cs="Calibri"/>
                      <w:color w:val="auto"/>
                    </w:rPr>
                  </w:pPr>
                </w:p>
              </w:tc>
              <w:tc>
                <w:tcPr>
                  <w:tcW w:w="506" w:type="pct"/>
                  <w:vMerge w:val="continue"/>
                  <w:vAlign w:val="center"/>
                </w:tcPr>
                <w:p w14:paraId="5FA47094">
                  <w:pPr>
                    <w:pStyle w:val="51"/>
                    <w:rPr>
                      <w:rFonts w:cs="Calibri"/>
                      <w:color w:val="auto"/>
                    </w:rPr>
                  </w:pPr>
                </w:p>
              </w:tc>
              <w:tc>
                <w:tcPr>
                  <w:tcW w:w="684" w:type="pct"/>
                  <w:vAlign w:val="center"/>
                </w:tcPr>
                <w:p w14:paraId="4866AEAC">
                  <w:pPr>
                    <w:pStyle w:val="51"/>
                    <w:rPr>
                      <w:rFonts w:cs="Calibri"/>
                      <w:color w:val="auto"/>
                    </w:rPr>
                  </w:pPr>
                  <w:r>
                    <w:rPr>
                      <w:rFonts w:cs="Calibri"/>
                      <w:color w:val="auto"/>
                    </w:rPr>
                    <w:t>第二次</w:t>
                  </w:r>
                </w:p>
              </w:tc>
              <w:tc>
                <w:tcPr>
                  <w:tcW w:w="868" w:type="pct"/>
                  <w:vAlign w:val="center"/>
                </w:tcPr>
                <w:p w14:paraId="0C654893">
                  <w:pPr>
                    <w:pStyle w:val="51"/>
                    <w:rPr>
                      <w:rFonts w:cs="Calibri"/>
                      <w:color w:val="auto"/>
                    </w:rPr>
                  </w:pPr>
                  <w:r>
                    <w:rPr>
                      <w:rFonts w:cs="Calibri"/>
                      <w:color w:val="auto"/>
                    </w:rPr>
                    <w:t>14894</w:t>
                  </w:r>
                </w:p>
              </w:tc>
              <w:tc>
                <w:tcPr>
                  <w:tcW w:w="868" w:type="pct"/>
                  <w:vAlign w:val="center"/>
                </w:tcPr>
                <w:p w14:paraId="5DA01914">
                  <w:pPr>
                    <w:pStyle w:val="51"/>
                    <w:rPr>
                      <w:rFonts w:cs="Calibri"/>
                      <w:color w:val="auto"/>
                    </w:rPr>
                  </w:pPr>
                  <w:r>
                    <w:rPr>
                      <w:rFonts w:cs="Calibri"/>
                      <w:color w:val="auto"/>
                    </w:rPr>
                    <w:t>0.114</w:t>
                  </w:r>
                </w:p>
              </w:tc>
              <w:tc>
                <w:tcPr>
                  <w:tcW w:w="869" w:type="pct"/>
                  <w:vAlign w:val="center"/>
                </w:tcPr>
                <w:p w14:paraId="066F2233">
                  <w:pPr>
                    <w:pStyle w:val="51"/>
                    <w:rPr>
                      <w:rFonts w:cs="Calibri"/>
                      <w:color w:val="auto"/>
                    </w:rPr>
                  </w:pPr>
                  <w:r>
                    <w:rPr>
                      <w:rFonts w:cs="Calibri"/>
                      <w:color w:val="auto"/>
                    </w:rPr>
                    <w:t>1.70×10</w:t>
                  </w:r>
                  <w:r>
                    <w:rPr>
                      <w:rFonts w:cs="Calibri"/>
                      <w:color w:val="auto"/>
                      <w:vertAlign w:val="superscript"/>
                    </w:rPr>
                    <w:t>-3</w:t>
                  </w:r>
                </w:p>
              </w:tc>
            </w:tr>
            <w:tr w14:paraId="2577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pct"/>
                  <w:vMerge w:val="continue"/>
                  <w:vAlign w:val="center"/>
                </w:tcPr>
                <w:p w14:paraId="5025E67D">
                  <w:pPr>
                    <w:pStyle w:val="51"/>
                    <w:rPr>
                      <w:rFonts w:cs="Calibri"/>
                      <w:color w:val="auto"/>
                    </w:rPr>
                  </w:pPr>
                </w:p>
              </w:tc>
              <w:tc>
                <w:tcPr>
                  <w:tcW w:w="510" w:type="pct"/>
                  <w:vMerge w:val="continue"/>
                  <w:vAlign w:val="center"/>
                </w:tcPr>
                <w:p w14:paraId="6E1BFD6F">
                  <w:pPr>
                    <w:pStyle w:val="51"/>
                    <w:rPr>
                      <w:rFonts w:cs="Calibri"/>
                      <w:color w:val="auto"/>
                    </w:rPr>
                  </w:pPr>
                </w:p>
              </w:tc>
              <w:tc>
                <w:tcPr>
                  <w:tcW w:w="506" w:type="pct"/>
                  <w:vMerge w:val="continue"/>
                  <w:vAlign w:val="center"/>
                </w:tcPr>
                <w:p w14:paraId="5947E0CA">
                  <w:pPr>
                    <w:pStyle w:val="51"/>
                    <w:rPr>
                      <w:rFonts w:cs="Calibri"/>
                      <w:color w:val="auto"/>
                    </w:rPr>
                  </w:pPr>
                </w:p>
              </w:tc>
              <w:tc>
                <w:tcPr>
                  <w:tcW w:w="684" w:type="pct"/>
                  <w:vAlign w:val="center"/>
                </w:tcPr>
                <w:p w14:paraId="1771E03F">
                  <w:pPr>
                    <w:pStyle w:val="51"/>
                    <w:rPr>
                      <w:rFonts w:cs="Calibri"/>
                      <w:color w:val="auto"/>
                    </w:rPr>
                  </w:pPr>
                  <w:r>
                    <w:rPr>
                      <w:rFonts w:cs="Calibri"/>
                      <w:color w:val="auto"/>
                    </w:rPr>
                    <w:t>第三次</w:t>
                  </w:r>
                </w:p>
              </w:tc>
              <w:tc>
                <w:tcPr>
                  <w:tcW w:w="868" w:type="pct"/>
                  <w:vAlign w:val="center"/>
                </w:tcPr>
                <w:p w14:paraId="6C8CA634">
                  <w:pPr>
                    <w:pStyle w:val="51"/>
                    <w:rPr>
                      <w:rFonts w:cs="Calibri"/>
                      <w:color w:val="auto"/>
                    </w:rPr>
                  </w:pPr>
                  <w:r>
                    <w:rPr>
                      <w:rFonts w:cs="Calibri"/>
                      <w:color w:val="auto"/>
                    </w:rPr>
                    <w:t>14224</w:t>
                  </w:r>
                </w:p>
              </w:tc>
              <w:tc>
                <w:tcPr>
                  <w:tcW w:w="868" w:type="pct"/>
                  <w:vAlign w:val="center"/>
                </w:tcPr>
                <w:p w14:paraId="491F845F">
                  <w:pPr>
                    <w:pStyle w:val="51"/>
                    <w:rPr>
                      <w:rFonts w:cs="Calibri"/>
                      <w:color w:val="auto"/>
                    </w:rPr>
                  </w:pPr>
                  <w:r>
                    <w:rPr>
                      <w:rFonts w:cs="Calibri"/>
                      <w:color w:val="auto"/>
                    </w:rPr>
                    <w:t>0.248</w:t>
                  </w:r>
                </w:p>
              </w:tc>
              <w:tc>
                <w:tcPr>
                  <w:tcW w:w="869" w:type="pct"/>
                  <w:vAlign w:val="center"/>
                </w:tcPr>
                <w:p w14:paraId="59F7F1F4">
                  <w:pPr>
                    <w:pStyle w:val="51"/>
                    <w:rPr>
                      <w:rFonts w:cs="Calibri"/>
                      <w:color w:val="auto"/>
                    </w:rPr>
                  </w:pPr>
                  <w:r>
                    <w:rPr>
                      <w:rFonts w:cs="Calibri"/>
                      <w:color w:val="auto"/>
                    </w:rPr>
                    <w:t>3.53×10</w:t>
                  </w:r>
                  <w:r>
                    <w:rPr>
                      <w:rFonts w:cs="Calibri"/>
                      <w:color w:val="auto"/>
                      <w:vertAlign w:val="superscript"/>
                    </w:rPr>
                    <w:t>-3</w:t>
                  </w:r>
                </w:p>
              </w:tc>
            </w:tr>
            <w:tr w14:paraId="4DCB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pct"/>
                  <w:vMerge w:val="continue"/>
                  <w:vAlign w:val="center"/>
                </w:tcPr>
                <w:p w14:paraId="2FF30E42">
                  <w:pPr>
                    <w:pStyle w:val="51"/>
                    <w:rPr>
                      <w:rFonts w:cs="Calibri"/>
                      <w:color w:val="auto"/>
                    </w:rPr>
                  </w:pPr>
                </w:p>
              </w:tc>
              <w:tc>
                <w:tcPr>
                  <w:tcW w:w="510" w:type="pct"/>
                  <w:vMerge w:val="continue"/>
                  <w:vAlign w:val="center"/>
                </w:tcPr>
                <w:p w14:paraId="3F1411EF">
                  <w:pPr>
                    <w:pStyle w:val="51"/>
                    <w:rPr>
                      <w:rFonts w:cs="Calibri"/>
                      <w:color w:val="auto"/>
                    </w:rPr>
                  </w:pPr>
                </w:p>
              </w:tc>
              <w:tc>
                <w:tcPr>
                  <w:tcW w:w="506" w:type="pct"/>
                  <w:vMerge w:val="continue"/>
                  <w:vAlign w:val="center"/>
                </w:tcPr>
                <w:p w14:paraId="74F26CFA">
                  <w:pPr>
                    <w:pStyle w:val="51"/>
                    <w:rPr>
                      <w:rFonts w:cs="Calibri"/>
                      <w:color w:val="auto"/>
                    </w:rPr>
                  </w:pPr>
                </w:p>
              </w:tc>
              <w:tc>
                <w:tcPr>
                  <w:tcW w:w="684" w:type="pct"/>
                  <w:vAlign w:val="center"/>
                </w:tcPr>
                <w:p w14:paraId="714F9772">
                  <w:pPr>
                    <w:pStyle w:val="51"/>
                    <w:rPr>
                      <w:rFonts w:cs="Calibri"/>
                      <w:color w:val="auto"/>
                    </w:rPr>
                  </w:pPr>
                  <w:r>
                    <w:rPr>
                      <w:rFonts w:cs="Calibri"/>
                      <w:color w:val="auto"/>
                    </w:rPr>
                    <w:t>均值</w:t>
                  </w:r>
                </w:p>
              </w:tc>
              <w:tc>
                <w:tcPr>
                  <w:tcW w:w="868" w:type="pct"/>
                  <w:vAlign w:val="center"/>
                </w:tcPr>
                <w:p w14:paraId="65E5DCF1">
                  <w:pPr>
                    <w:pStyle w:val="51"/>
                    <w:rPr>
                      <w:rFonts w:cs="Calibri"/>
                      <w:color w:val="auto"/>
                    </w:rPr>
                  </w:pPr>
                  <w:r>
                    <w:rPr>
                      <w:rFonts w:cs="Calibri"/>
                      <w:color w:val="auto"/>
                    </w:rPr>
                    <w:t>14367</w:t>
                  </w:r>
                </w:p>
              </w:tc>
              <w:tc>
                <w:tcPr>
                  <w:tcW w:w="868" w:type="pct"/>
                  <w:vAlign w:val="center"/>
                </w:tcPr>
                <w:p w14:paraId="7C35677A">
                  <w:pPr>
                    <w:pStyle w:val="51"/>
                    <w:rPr>
                      <w:rFonts w:cs="Calibri"/>
                      <w:color w:val="auto"/>
                    </w:rPr>
                  </w:pPr>
                  <w:r>
                    <w:rPr>
                      <w:rFonts w:cs="Calibri"/>
                      <w:color w:val="auto"/>
                    </w:rPr>
                    <w:t>0.584</w:t>
                  </w:r>
                </w:p>
              </w:tc>
              <w:tc>
                <w:tcPr>
                  <w:tcW w:w="869" w:type="pct"/>
                  <w:vAlign w:val="center"/>
                </w:tcPr>
                <w:p w14:paraId="57868747">
                  <w:pPr>
                    <w:pStyle w:val="51"/>
                    <w:rPr>
                      <w:rFonts w:cs="Calibri"/>
                      <w:color w:val="auto"/>
                    </w:rPr>
                  </w:pPr>
                  <w:r>
                    <w:rPr>
                      <w:rFonts w:cs="Calibri"/>
                      <w:color w:val="auto"/>
                    </w:rPr>
                    <w:t>8.39×10</w:t>
                  </w:r>
                  <w:r>
                    <w:rPr>
                      <w:rFonts w:cs="Calibri"/>
                      <w:color w:val="auto"/>
                      <w:vertAlign w:val="superscript"/>
                    </w:rPr>
                    <w:t>-3</w:t>
                  </w:r>
                </w:p>
              </w:tc>
            </w:tr>
            <w:tr w14:paraId="1293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pct"/>
                  <w:vMerge w:val="restart"/>
                  <w:vAlign w:val="center"/>
                </w:tcPr>
                <w:p w14:paraId="29A2F781">
                  <w:pPr>
                    <w:pStyle w:val="51"/>
                    <w:rPr>
                      <w:rFonts w:cs="Calibri"/>
                      <w:color w:val="auto"/>
                    </w:rPr>
                  </w:pPr>
                  <w:r>
                    <w:rPr>
                      <w:rFonts w:hint="eastAsia" w:cs="Calibri"/>
                      <w:color w:val="auto"/>
                    </w:rPr>
                    <w:t>加弹</w:t>
                  </w:r>
                  <w:r>
                    <w:rPr>
                      <w:rFonts w:cs="Calibri"/>
                      <w:color w:val="auto"/>
                    </w:rPr>
                    <w:t>废气排口◎</w:t>
                  </w:r>
                  <w:r>
                    <w:rPr>
                      <w:rFonts w:hint="eastAsia" w:cs="Calibri"/>
                      <w:color w:val="auto"/>
                    </w:rPr>
                    <w:t>2</w:t>
                  </w:r>
                </w:p>
              </w:tc>
              <w:tc>
                <w:tcPr>
                  <w:tcW w:w="510" w:type="pct"/>
                  <w:vMerge w:val="restart"/>
                  <w:vAlign w:val="center"/>
                </w:tcPr>
                <w:p w14:paraId="5BC11663">
                  <w:pPr>
                    <w:pStyle w:val="51"/>
                    <w:rPr>
                      <w:rFonts w:cs="Calibri"/>
                      <w:color w:val="auto"/>
                    </w:rPr>
                  </w:pPr>
                  <w:r>
                    <w:rPr>
                      <w:rFonts w:cs="Calibri"/>
                      <w:color w:val="auto"/>
                    </w:rPr>
                    <w:t>VOCs</w:t>
                  </w:r>
                </w:p>
              </w:tc>
              <w:tc>
                <w:tcPr>
                  <w:tcW w:w="506" w:type="pct"/>
                  <w:vMerge w:val="continue"/>
                  <w:vAlign w:val="center"/>
                </w:tcPr>
                <w:p w14:paraId="309FBE70">
                  <w:pPr>
                    <w:pStyle w:val="51"/>
                    <w:rPr>
                      <w:rFonts w:cs="Calibri"/>
                      <w:color w:val="auto"/>
                    </w:rPr>
                  </w:pPr>
                </w:p>
              </w:tc>
              <w:tc>
                <w:tcPr>
                  <w:tcW w:w="684" w:type="pct"/>
                  <w:vAlign w:val="center"/>
                </w:tcPr>
                <w:p w14:paraId="4E52EAF5">
                  <w:pPr>
                    <w:pStyle w:val="51"/>
                    <w:rPr>
                      <w:rFonts w:cs="Calibri"/>
                      <w:color w:val="auto"/>
                    </w:rPr>
                  </w:pPr>
                  <w:r>
                    <w:rPr>
                      <w:rFonts w:cs="Calibri"/>
                      <w:color w:val="auto"/>
                    </w:rPr>
                    <w:t>第一次</w:t>
                  </w:r>
                </w:p>
              </w:tc>
              <w:tc>
                <w:tcPr>
                  <w:tcW w:w="868" w:type="pct"/>
                  <w:vAlign w:val="center"/>
                </w:tcPr>
                <w:p w14:paraId="2FC1E0A0">
                  <w:pPr>
                    <w:pStyle w:val="51"/>
                    <w:rPr>
                      <w:rFonts w:cs="Calibri"/>
                      <w:color w:val="auto"/>
                    </w:rPr>
                  </w:pPr>
                  <w:r>
                    <w:rPr>
                      <w:rFonts w:cs="Calibri"/>
                      <w:color w:val="auto"/>
                    </w:rPr>
                    <w:t>16146</w:t>
                  </w:r>
                </w:p>
              </w:tc>
              <w:tc>
                <w:tcPr>
                  <w:tcW w:w="868" w:type="pct"/>
                  <w:vAlign w:val="center"/>
                </w:tcPr>
                <w:p w14:paraId="7AA2558E">
                  <w:pPr>
                    <w:pStyle w:val="51"/>
                    <w:rPr>
                      <w:rFonts w:cs="Calibri"/>
                      <w:color w:val="auto"/>
                    </w:rPr>
                  </w:pPr>
                  <w:r>
                    <w:rPr>
                      <w:rFonts w:cs="Calibri"/>
                      <w:color w:val="auto"/>
                    </w:rPr>
                    <w:t>ND</w:t>
                  </w:r>
                </w:p>
              </w:tc>
              <w:tc>
                <w:tcPr>
                  <w:tcW w:w="869" w:type="pct"/>
                  <w:vAlign w:val="center"/>
                </w:tcPr>
                <w:p w14:paraId="6B3C31C3">
                  <w:pPr>
                    <w:pStyle w:val="51"/>
                    <w:rPr>
                      <w:rFonts w:cs="Calibri"/>
                      <w:color w:val="auto"/>
                    </w:rPr>
                  </w:pPr>
                  <w:r>
                    <w:rPr>
                      <w:rFonts w:cs="Calibri"/>
                      <w:color w:val="auto"/>
                    </w:rPr>
                    <w:t>/</w:t>
                  </w:r>
                </w:p>
              </w:tc>
            </w:tr>
            <w:tr w14:paraId="058A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pct"/>
                  <w:vMerge w:val="continue"/>
                  <w:vAlign w:val="center"/>
                </w:tcPr>
                <w:p w14:paraId="080FE226">
                  <w:pPr>
                    <w:pStyle w:val="51"/>
                    <w:rPr>
                      <w:rFonts w:cs="Calibri"/>
                      <w:color w:val="auto"/>
                    </w:rPr>
                  </w:pPr>
                </w:p>
              </w:tc>
              <w:tc>
                <w:tcPr>
                  <w:tcW w:w="510" w:type="pct"/>
                  <w:vMerge w:val="continue"/>
                  <w:vAlign w:val="center"/>
                </w:tcPr>
                <w:p w14:paraId="7C1F4F94">
                  <w:pPr>
                    <w:pStyle w:val="51"/>
                    <w:rPr>
                      <w:rFonts w:cs="Calibri"/>
                      <w:color w:val="auto"/>
                    </w:rPr>
                  </w:pPr>
                </w:p>
              </w:tc>
              <w:tc>
                <w:tcPr>
                  <w:tcW w:w="506" w:type="pct"/>
                  <w:vMerge w:val="continue"/>
                  <w:vAlign w:val="center"/>
                </w:tcPr>
                <w:p w14:paraId="6BBF4962">
                  <w:pPr>
                    <w:pStyle w:val="51"/>
                    <w:rPr>
                      <w:rFonts w:cs="Calibri"/>
                      <w:color w:val="auto"/>
                    </w:rPr>
                  </w:pPr>
                </w:p>
              </w:tc>
              <w:tc>
                <w:tcPr>
                  <w:tcW w:w="684" w:type="pct"/>
                  <w:vAlign w:val="center"/>
                </w:tcPr>
                <w:p w14:paraId="336F9F28">
                  <w:pPr>
                    <w:pStyle w:val="51"/>
                    <w:rPr>
                      <w:rFonts w:cs="Calibri"/>
                      <w:color w:val="auto"/>
                    </w:rPr>
                  </w:pPr>
                  <w:r>
                    <w:rPr>
                      <w:rFonts w:cs="Calibri"/>
                      <w:color w:val="auto"/>
                    </w:rPr>
                    <w:t>第二次</w:t>
                  </w:r>
                </w:p>
              </w:tc>
              <w:tc>
                <w:tcPr>
                  <w:tcW w:w="868" w:type="pct"/>
                  <w:vAlign w:val="center"/>
                </w:tcPr>
                <w:p w14:paraId="7FB854CC">
                  <w:pPr>
                    <w:pStyle w:val="51"/>
                    <w:rPr>
                      <w:rFonts w:cs="Calibri"/>
                      <w:color w:val="auto"/>
                    </w:rPr>
                  </w:pPr>
                  <w:r>
                    <w:rPr>
                      <w:rFonts w:cs="Calibri"/>
                      <w:color w:val="auto"/>
                    </w:rPr>
                    <w:t>16522</w:t>
                  </w:r>
                </w:p>
              </w:tc>
              <w:tc>
                <w:tcPr>
                  <w:tcW w:w="868" w:type="pct"/>
                  <w:vAlign w:val="center"/>
                </w:tcPr>
                <w:p w14:paraId="6EF1184B">
                  <w:pPr>
                    <w:pStyle w:val="51"/>
                    <w:rPr>
                      <w:rFonts w:cs="Calibri"/>
                      <w:color w:val="auto"/>
                    </w:rPr>
                  </w:pPr>
                  <w:r>
                    <w:rPr>
                      <w:rFonts w:cs="Calibri"/>
                      <w:color w:val="auto"/>
                    </w:rPr>
                    <w:t>0.05</w:t>
                  </w:r>
                </w:p>
              </w:tc>
              <w:tc>
                <w:tcPr>
                  <w:tcW w:w="869" w:type="pct"/>
                  <w:vAlign w:val="center"/>
                </w:tcPr>
                <w:p w14:paraId="6A29F74A">
                  <w:pPr>
                    <w:pStyle w:val="51"/>
                    <w:rPr>
                      <w:rFonts w:cs="Calibri"/>
                      <w:color w:val="auto"/>
                    </w:rPr>
                  </w:pPr>
                  <w:r>
                    <w:rPr>
                      <w:rFonts w:cs="Calibri"/>
                      <w:color w:val="auto"/>
                    </w:rPr>
                    <w:t>8.26×10</w:t>
                  </w:r>
                  <w:r>
                    <w:rPr>
                      <w:rFonts w:cs="Calibri"/>
                      <w:color w:val="auto"/>
                      <w:vertAlign w:val="superscript"/>
                    </w:rPr>
                    <w:t>-4</w:t>
                  </w:r>
                </w:p>
              </w:tc>
            </w:tr>
            <w:tr w14:paraId="6A08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pct"/>
                  <w:vMerge w:val="continue"/>
                  <w:vAlign w:val="center"/>
                </w:tcPr>
                <w:p w14:paraId="27194FF4">
                  <w:pPr>
                    <w:pStyle w:val="51"/>
                    <w:rPr>
                      <w:rFonts w:cs="Calibri"/>
                      <w:color w:val="auto"/>
                    </w:rPr>
                  </w:pPr>
                </w:p>
              </w:tc>
              <w:tc>
                <w:tcPr>
                  <w:tcW w:w="510" w:type="pct"/>
                  <w:vMerge w:val="continue"/>
                  <w:vAlign w:val="center"/>
                </w:tcPr>
                <w:p w14:paraId="41D38C64">
                  <w:pPr>
                    <w:pStyle w:val="51"/>
                    <w:rPr>
                      <w:rFonts w:cs="Calibri"/>
                      <w:color w:val="auto"/>
                    </w:rPr>
                  </w:pPr>
                </w:p>
              </w:tc>
              <w:tc>
                <w:tcPr>
                  <w:tcW w:w="506" w:type="pct"/>
                  <w:vMerge w:val="continue"/>
                  <w:vAlign w:val="center"/>
                </w:tcPr>
                <w:p w14:paraId="19627E97">
                  <w:pPr>
                    <w:pStyle w:val="51"/>
                    <w:rPr>
                      <w:rFonts w:cs="Calibri"/>
                      <w:color w:val="auto"/>
                    </w:rPr>
                  </w:pPr>
                </w:p>
              </w:tc>
              <w:tc>
                <w:tcPr>
                  <w:tcW w:w="684" w:type="pct"/>
                  <w:vAlign w:val="center"/>
                </w:tcPr>
                <w:p w14:paraId="7300B561">
                  <w:pPr>
                    <w:pStyle w:val="51"/>
                    <w:rPr>
                      <w:rFonts w:cs="Calibri"/>
                      <w:color w:val="auto"/>
                    </w:rPr>
                  </w:pPr>
                  <w:r>
                    <w:rPr>
                      <w:rFonts w:cs="Calibri"/>
                      <w:color w:val="auto"/>
                    </w:rPr>
                    <w:t>第三次</w:t>
                  </w:r>
                </w:p>
              </w:tc>
              <w:tc>
                <w:tcPr>
                  <w:tcW w:w="868" w:type="pct"/>
                  <w:vAlign w:val="center"/>
                </w:tcPr>
                <w:p w14:paraId="3F840912">
                  <w:pPr>
                    <w:pStyle w:val="51"/>
                    <w:rPr>
                      <w:rFonts w:cs="Calibri"/>
                      <w:color w:val="auto"/>
                    </w:rPr>
                  </w:pPr>
                  <w:r>
                    <w:rPr>
                      <w:rFonts w:cs="Calibri"/>
                      <w:color w:val="auto"/>
                    </w:rPr>
                    <w:t>16246</w:t>
                  </w:r>
                </w:p>
              </w:tc>
              <w:tc>
                <w:tcPr>
                  <w:tcW w:w="868" w:type="pct"/>
                  <w:vAlign w:val="center"/>
                </w:tcPr>
                <w:p w14:paraId="74AAF86A">
                  <w:pPr>
                    <w:pStyle w:val="51"/>
                    <w:rPr>
                      <w:rFonts w:cs="Calibri"/>
                      <w:color w:val="auto"/>
                    </w:rPr>
                  </w:pPr>
                  <w:r>
                    <w:rPr>
                      <w:rFonts w:cs="Calibri"/>
                      <w:color w:val="auto"/>
                    </w:rPr>
                    <w:t>ND</w:t>
                  </w:r>
                </w:p>
              </w:tc>
              <w:tc>
                <w:tcPr>
                  <w:tcW w:w="869" w:type="pct"/>
                  <w:vAlign w:val="center"/>
                </w:tcPr>
                <w:p w14:paraId="36AE4A96">
                  <w:pPr>
                    <w:pStyle w:val="51"/>
                    <w:rPr>
                      <w:rFonts w:cs="Calibri"/>
                      <w:color w:val="auto"/>
                    </w:rPr>
                  </w:pPr>
                  <w:r>
                    <w:rPr>
                      <w:rFonts w:cs="Calibri"/>
                      <w:color w:val="auto"/>
                    </w:rPr>
                    <w:t>/</w:t>
                  </w:r>
                </w:p>
              </w:tc>
            </w:tr>
            <w:tr w14:paraId="5CC7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pct"/>
                  <w:vMerge w:val="continue"/>
                  <w:vAlign w:val="center"/>
                </w:tcPr>
                <w:p w14:paraId="3901296C">
                  <w:pPr>
                    <w:pStyle w:val="51"/>
                    <w:rPr>
                      <w:rFonts w:cs="Calibri"/>
                      <w:color w:val="auto"/>
                    </w:rPr>
                  </w:pPr>
                </w:p>
              </w:tc>
              <w:tc>
                <w:tcPr>
                  <w:tcW w:w="510" w:type="pct"/>
                  <w:vMerge w:val="continue"/>
                  <w:vAlign w:val="center"/>
                </w:tcPr>
                <w:p w14:paraId="059EF8FD">
                  <w:pPr>
                    <w:pStyle w:val="51"/>
                    <w:rPr>
                      <w:rFonts w:cs="Calibri"/>
                      <w:color w:val="auto"/>
                    </w:rPr>
                  </w:pPr>
                </w:p>
              </w:tc>
              <w:tc>
                <w:tcPr>
                  <w:tcW w:w="506" w:type="pct"/>
                  <w:vMerge w:val="continue"/>
                  <w:vAlign w:val="center"/>
                </w:tcPr>
                <w:p w14:paraId="5F5BA34C">
                  <w:pPr>
                    <w:pStyle w:val="51"/>
                    <w:rPr>
                      <w:rFonts w:cs="Calibri"/>
                      <w:color w:val="auto"/>
                    </w:rPr>
                  </w:pPr>
                </w:p>
              </w:tc>
              <w:tc>
                <w:tcPr>
                  <w:tcW w:w="684" w:type="pct"/>
                  <w:vAlign w:val="center"/>
                </w:tcPr>
                <w:p w14:paraId="7C082648">
                  <w:pPr>
                    <w:pStyle w:val="51"/>
                    <w:rPr>
                      <w:rFonts w:cs="Calibri"/>
                      <w:color w:val="auto"/>
                    </w:rPr>
                  </w:pPr>
                  <w:r>
                    <w:rPr>
                      <w:rFonts w:cs="Calibri"/>
                      <w:color w:val="auto"/>
                    </w:rPr>
                    <w:t>均值</w:t>
                  </w:r>
                </w:p>
              </w:tc>
              <w:tc>
                <w:tcPr>
                  <w:tcW w:w="868" w:type="pct"/>
                  <w:vAlign w:val="center"/>
                </w:tcPr>
                <w:p w14:paraId="4D33EC30">
                  <w:pPr>
                    <w:pStyle w:val="51"/>
                    <w:rPr>
                      <w:rFonts w:cs="Calibri"/>
                      <w:color w:val="auto"/>
                    </w:rPr>
                  </w:pPr>
                  <w:r>
                    <w:rPr>
                      <w:rFonts w:cs="Calibri"/>
                      <w:color w:val="auto"/>
                    </w:rPr>
                    <w:t>16305</w:t>
                  </w:r>
                </w:p>
              </w:tc>
              <w:tc>
                <w:tcPr>
                  <w:tcW w:w="868" w:type="pct"/>
                  <w:vAlign w:val="center"/>
                </w:tcPr>
                <w:p w14:paraId="22817DC6">
                  <w:pPr>
                    <w:pStyle w:val="51"/>
                    <w:rPr>
                      <w:rFonts w:cs="Calibri"/>
                      <w:color w:val="auto"/>
                    </w:rPr>
                  </w:pPr>
                  <w:r>
                    <w:rPr>
                      <w:rFonts w:cs="Calibri"/>
                      <w:color w:val="auto"/>
                    </w:rPr>
                    <w:t>0.05</w:t>
                  </w:r>
                </w:p>
              </w:tc>
              <w:tc>
                <w:tcPr>
                  <w:tcW w:w="869" w:type="pct"/>
                  <w:vAlign w:val="center"/>
                </w:tcPr>
                <w:p w14:paraId="28E3C50C">
                  <w:pPr>
                    <w:pStyle w:val="51"/>
                    <w:rPr>
                      <w:rFonts w:cs="Calibri"/>
                      <w:color w:val="auto"/>
                    </w:rPr>
                  </w:pPr>
                  <w:r>
                    <w:rPr>
                      <w:rFonts w:cs="Calibri"/>
                      <w:color w:val="auto"/>
                    </w:rPr>
                    <w:t>8.15×10</w:t>
                  </w:r>
                  <w:r>
                    <w:rPr>
                      <w:rFonts w:cs="Calibri"/>
                      <w:color w:val="auto"/>
                      <w:vertAlign w:val="superscript"/>
                    </w:rPr>
                    <w:t>-4</w:t>
                  </w:r>
                </w:p>
              </w:tc>
            </w:tr>
            <w:tr w14:paraId="4D52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4" w:type="pct"/>
                  <w:gridSpan w:val="4"/>
                  <w:vAlign w:val="center"/>
                </w:tcPr>
                <w:p w14:paraId="70370EBA">
                  <w:pPr>
                    <w:pStyle w:val="51"/>
                    <w:rPr>
                      <w:rFonts w:cs="Calibri"/>
                      <w:b/>
                      <w:bCs/>
                      <w:color w:val="auto"/>
                    </w:rPr>
                  </w:pPr>
                  <w:r>
                    <w:rPr>
                      <w:rFonts w:cs="Calibri"/>
                      <w:b/>
                      <w:bCs/>
                      <w:color w:val="auto"/>
                    </w:rPr>
                    <w:t>去除率</w:t>
                  </w:r>
                </w:p>
              </w:tc>
              <w:tc>
                <w:tcPr>
                  <w:tcW w:w="2605" w:type="pct"/>
                  <w:gridSpan w:val="3"/>
                  <w:vAlign w:val="center"/>
                </w:tcPr>
                <w:p w14:paraId="50EAEFCC">
                  <w:pPr>
                    <w:pStyle w:val="51"/>
                    <w:rPr>
                      <w:rFonts w:cs="Calibri"/>
                      <w:b/>
                      <w:bCs/>
                      <w:color w:val="auto"/>
                    </w:rPr>
                  </w:pPr>
                  <w:r>
                    <w:rPr>
                      <w:rFonts w:hint="eastAsia" w:cs="Calibri"/>
                      <w:b/>
                      <w:bCs/>
                      <w:color w:val="auto"/>
                    </w:rPr>
                    <w:t>90.3%</w:t>
                  </w:r>
                </w:p>
              </w:tc>
            </w:tr>
          </w:tbl>
          <w:p w14:paraId="0B313595">
            <w:pPr>
              <w:pStyle w:val="47"/>
              <w:ind w:firstLine="480"/>
              <w:rPr>
                <w:color w:val="auto"/>
              </w:rPr>
            </w:pPr>
            <w:r>
              <w:rPr>
                <w:rFonts w:hint="eastAsia"/>
                <w:color w:val="auto"/>
              </w:rPr>
              <w:t>综上，</w:t>
            </w:r>
            <w:r>
              <w:rPr>
                <w:color w:val="auto"/>
              </w:rPr>
              <w:t>本项目加弹废气</w:t>
            </w:r>
            <w:r>
              <w:rPr>
                <w:rFonts w:hint="eastAsia"/>
                <w:color w:val="auto"/>
              </w:rPr>
              <w:t>、危废仓库废气</w:t>
            </w:r>
            <w:r>
              <w:rPr>
                <w:color w:val="auto"/>
              </w:rPr>
              <w:t>采用“高压静电油烟净化器”</w:t>
            </w:r>
            <w:r>
              <w:rPr>
                <w:rFonts w:hint="eastAsia"/>
                <w:color w:val="auto"/>
              </w:rPr>
              <w:t>处理</w:t>
            </w:r>
            <w:r>
              <w:rPr>
                <w:color w:val="auto"/>
              </w:rPr>
              <w:t>属于可行技术</w:t>
            </w:r>
            <w:r>
              <w:rPr>
                <w:rFonts w:hint="eastAsia"/>
                <w:color w:val="auto"/>
              </w:rPr>
              <w:t>，且对非甲烷总烃去除效率选取90%可行。</w:t>
            </w:r>
          </w:p>
          <w:p w14:paraId="1610B167">
            <w:pPr>
              <w:pStyle w:val="47"/>
              <w:ind w:firstLine="482"/>
              <w:rPr>
                <w:b/>
                <w:bCs/>
                <w:color w:val="auto"/>
              </w:rPr>
            </w:pPr>
            <w:r>
              <w:rPr>
                <w:b/>
                <w:bCs/>
                <w:color w:val="auto"/>
              </w:rPr>
              <w:t>（4）非正常工况</w:t>
            </w:r>
          </w:p>
          <w:p w14:paraId="34C52DFE">
            <w:pPr>
              <w:pStyle w:val="47"/>
              <w:ind w:firstLine="480"/>
              <w:rPr>
                <w:color w:val="auto"/>
              </w:rPr>
            </w:pPr>
            <w:r>
              <w:rPr>
                <w:color w:val="auto"/>
              </w:rPr>
              <w:t>本项目非正常生产情况是指系统开停机、设备检修、系统异常、管道泄漏等情况。项目采用的生产工艺和治理设施较为先进、可靠、成熟。因此，在正常条件下，可避免污染事故发生。本次评价从最不利环境影响分析非正常工况下污染物的排放情况，设定高压静电油烟净化器故障，无法运行时，导致</w:t>
            </w:r>
            <w:r>
              <w:rPr>
                <w:rFonts w:hint="eastAsia"/>
                <w:color w:val="auto"/>
              </w:rPr>
              <w:t>加弹废气</w:t>
            </w:r>
            <w:r>
              <w:rPr>
                <w:color w:val="auto"/>
              </w:rPr>
              <w:t>非正常排放，详见</w:t>
            </w:r>
            <w:r>
              <w:rPr>
                <w:color w:val="auto"/>
              </w:rPr>
              <w:fldChar w:fldCharType="begin"/>
            </w:r>
            <w:r>
              <w:rPr>
                <w:color w:val="auto"/>
              </w:rPr>
              <w:instrText xml:space="preserve"> REF _Ref22504 \h </w:instrText>
            </w:r>
            <w:r>
              <w:rPr>
                <w:color w:val="auto"/>
              </w:rPr>
              <w:fldChar w:fldCharType="separate"/>
            </w:r>
            <w:r>
              <w:rPr>
                <w:color w:val="auto"/>
              </w:rPr>
              <w:t>表4- 5</w:t>
            </w:r>
            <w:r>
              <w:rPr>
                <w:color w:val="auto"/>
              </w:rPr>
              <w:fldChar w:fldCharType="end"/>
            </w:r>
            <w:r>
              <w:rPr>
                <w:color w:val="auto"/>
              </w:rPr>
              <w:t>。</w:t>
            </w:r>
          </w:p>
          <w:p w14:paraId="5378A5B7">
            <w:pPr>
              <w:pStyle w:val="7"/>
              <w:rPr>
                <w:color w:val="auto"/>
              </w:rPr>
            </w:pPr>
            <w:bookmarkStart w:id="54" w:name="_Ref22504"/>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5</w:t>
            </w:r>
            <w:r>
              <w:rPr>
                <w:color w:val="auto"/>
              </w:rPr>
              <w:fldChar w:fldCharType="end"/>
            </w:r>
            <w:bookmarkEnd w:id="54"/>
            <w:r>
              <w:rPr>
                <w:color w:val="auto"/>
              </w:rPr>
              <w:t xml:space="preserve"> 非正常排放情况分析</w:t>
            </w:r>
          </w:p>
          <w:tbl>
            <w:tblPr>
              <w:tblStyle w:val="16"/>
              <w:tblW w:w="8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746"/>
              <w:gridCol w:w="1532"/>
              <w:gridCol w:w="1176"/>
              <w:gridCol w:w="1440"/>
              <w:gridCol w:w="1441"/>
            </w:tblGrid>
            <w:tr w14:paraId="3AFB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8" w:type="dxa"/>
                  <w:vAlign w:val="center"/>
                </w:tcPr>
                <w:p w14:paraId="27986742">
                  <w:pPr>
                    <w:pStyle w:val="49"/>
                    <w:rPr>
                      <w:color w:val="auto"/>
                    </w:rPr>
                  </w:pPr>
                  <w:r>
                    <w:rPr>
                      <w:color w:val="auto"/>
                    </w:rPr>
                    <w:t>车间名称</w:t>
                  </w:r>
                </w:p>
              </w:tc>
              <w:tc>
                <w:tcPr>
                  <w:tcW w:w="1746" w:type="dxa"/>
                  <w:vAlign w:val="center"/>
                </w:tcPr>
                <w:p w14:paraId="68F8C314">
                  <w:pPr>
                    <w:pStyle w:val="49"/>
                    <w:rPr>
                      <w:color w:val="auto"/>
                    </w:rPr>
                  </w:pPr>
                  <w:r>
                    <w:rPr>
                      <w:color w:val="auto"/>
                    </w:rPr>
                    <w:t>污染源</w:t>
                  </w:r>
                </w:p>
              </w:tc>
              <w:tc>
                <w:tcPr>
                  <w:tcW w:w="1532" w:type="dxa"/>
                  <w:vAlign w:val="center"/>
                </w:tcPr>
                <w:p w14:paraId="66387AC8">
                  <w:pPr>
                    <w:pStyle w:val="49"/>
                    <w:rPr>
                      <w:color w:val="auto"/>
                    </w:rPr>
                  </w:pPr>
                  <w:r>
                    <w:rPr>
                      <w:color w:val="auto"/>
                    </w:rPr>
                    <w:t>污染物种类</w:t>
                  </w:r>
                </w:p>
              </w:tc>
              <w:tc>
                <w:tcPr>
                  <w:tcW w:w="1176" w:type="dxa"/>
                  <w:vAlign w:val="center"/>
                </w:tcPr>
                <w:p w14:paraId="6301955D">
                  <w:pPr>
                    <w:pStyle w:val="49"/>
                    <w:rPr>
                      <w:color w:val="auto"/>
                    </w:rPr>
                  </w:pPr>
                  <w:r>
                    <w:rPr>
                      <w:color w:val="auto"/>
                    </w:rPr>
                    <w:t>废气量</w:t>
                  </w:r>
                </w:p>
                <w:p w14:paraId="3947A7A7">
                  <w:pPr>
                    <w:pStyle w:val="49"/>
                    <w:rPr>
                      <w:color w:val="auto"/>
                    </w:rPr>
                  </w:pPr>
                  <w:r>
                    <w:rPr>
                      <w:color w:val="auto"/>
                    </w:rPr>
                    <w:t>（m</w:t>
                  </w:r>
                  <w:r>
                    <w:rPr>
                      <w:color w:val="auto"/>
                      <w:vertAlign w:val="superscript"/>
                    </w:rPr>
                    <w:t>3</w:t>
                  </w:r>
                  <w:r>
                    <w:rPr>
                      <w:color w:val="auto"/>
                    </w:rPr>
                    <w:t>/h）</w:t>
                  </w:r>
                </w:p>
              </w:tc>
              <w:tc>
                <w:tcPr>
                  <w:tcW w:w="1440" w:type="dxa"/>
                  <w:vAlign w:val="center"/>
                </w:tcPr>
                <w:p w14:paraId="3C364DC2">
                  <w:pPr>
                    <w:pStyle w:val="49"/>
                    <w:rPr>
                      <w:color w:val="auto"/>
                    </w:rPr>
                  </w:pPr>
                  <w:r>
                    <w:rPr>
                      <w:color w:val="auto"/>
                    </w:rPr>
                    <w:t>排放浓度</w:t>
                  </w:r>
                </w:p>
                <w:p w14:paraId="765236CC">
                  <w:pPr>
                    <w:pStyle w:val="49"/>
                    <w:rPr>
                      <w:color w:val="auto"/>
                    </w:rPr>
                  </w:pPr>
                  <w:r>
                    <w:rPr>
                      <w:color w:val="auto"/>
                    </w:rPr>
                    <w:t>（mg/m</w:t>
                  </w:r>
                  <w:r>
                    <w:rPr>
                      <w:color w:val="auto"/>
                      <w:vertAlign w:val="superscript"/>
                    </w:rPr>
                    <w:t>3</w:t>
                  </w:r>
                  <w:r>
                    <w:rPr>
                      <w:color w:val="auto"/>
                    </w:rPr>
                    <w:t>）</w:t>
                  </w:r>
                </w:p>
              </w:tc>
              <w:tc>
                <w:tcPr>
                  <w:tcW w:w="1441" w:type="dxa"/>
                  <w:vAlign w:val="center"/>
                </w:tcPr>
                <w:p w14:paraId="6D276698">
                  <w:pPr>
                    <w:pStyle w:val="49"/>
                    <w:rPr>
                      <w:color w:val="auto"/>
                    </w:rPr>
                  </w:pPr>
                  <w:r>
                    <w:rPr>
                      <w:color w:val="auto"/>
                    </w:rPr>
                    <w:t>排放速率</w:t>
                  </w:r>
                </w:p>
                <w:p w14:paraId="6727D1FE">
                  <w:pPr>
                    <w:pStyle w:val="49"/>
                    <w:rPr>
                      <w:color w:val="auto"/>
                    </w:rPr>
                  </w:pPr>
                  <w:r>
                    <w:rPr>
                      <w:color w:val="auto"/>
                    </w:rPr>
                    <w:t>（kg/h）</w:t>
                  </w:r>
                </w:p>
              </w:tc>
            </w:tr>
            <w:tr w14:paraId="02D1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8" w:type="dxa"/>
                  <w:vMerge w:val="restart"/>
                  <w:vAlign w:val="center"/>
                </w:tcPr>
                <w:p w14:paraId="1D5F7975">
                  <w:pPr>
                    <w:pStyle w:val="51"/>
                    <w:bidi w:val="0"/>
                  </w:pPr>
                  <w:r>
                    <w:rPr>
                      <w:rFonts w:hint="eastAsia"/>
                    </w:rPr>
                    <w:t>2</w:t>
                  </w:r>
                  <w:r>
                    <w:t>#厂房</w:t>
                  </w:r>
                </w:p>
              </w:tc>
              <w:tc>
                <w:tcPr>
                  <w:tcW w:w="1746" w:type="dxa"/>
                  <w:vAlign w:val="center"/>
                </w:tcPr>
                <w:p w14:paraId="1DA233CC">
                  <w:pPr>
                    <w:pStyle w:val="51"/>
                    <w:bidi w:val="0"/>
                  </w:pPr>
                  <w:r>
                    <w:rPr>
                      <w:rFonts w:hint="eastAsia"/>
                    </w:rPr>
                    <w:t>1~5#加弹机</w:t>
                  </w:r>
                </w:p>
              </w:tc>
              <w:tc>
                <w:tcPr>
                  <w:tcW w:w="1532" w:type="dxa"/>
                  <w:vAlign w:val="center"/>
                </w:tcPr>
                <w:p w14:paraId="1ABC5940">
                  <w:pPr>
                    <w:pStyle w:val="51"/>
                    <w:bidi w:val="0"/>
                  </w:pPr>
                  <w:r>
                    <w:rPr>
                      <w:rFonts w:hint="eastAsia"/>
                    </w:rPr>
                    <w:t>非甲烷总烃</w:t>
                  </w:r>
                </w:p>
              </w:tc>
              <w:tc>
                <w:tcPr>
                  <w:tcW w:w="1176" w:type="dxa"/>
                  <w:vAlign w:val="center"/>
                </w:tcPr>
                <w:p w14:paraId="747D592A">
                  <w:pPr>
                    <w:pStyle w:val="51"/>
                    <w:bidi w:val="0"/>
                  </w:pPr>
                  <w:r>
                    <w:rPr>
                      <w:rFonts w:hint="eastAsia"/>
                    </w:rPr>
                    <w:t>15000</w:t>
                  </w:r>
                </w:p>
              </w:tc>
              <w:tc>
                <w:tcPr>
                  <w:tcW w:w="1440" w:type="dxa"/>
                  <w:shd w:val="clear" w:color="auto" w:fill="auto"/>
                  <w:vAlign w:val="center"/>
                </w:tcPr>
                <w:p w14:paraId="013792CE">
                  <w:pPr>
                    <w:pStyle w:val="51"/>
                    <w:bidi w:val="0"/>
                  </w:pPr>
                  <w:r>
                    <w:t xml:space="preserve">17.907 </w:t>
                  </w:r>
                </w:p>
              </w:tc>
              <w:tc>
                <w:tcPr>
                  <w:tcW w:w="1441" w:type="dxa"/>
                  <w:shd w:val="clear" w:color="auto" w:fill="auto"/>
                  <w:vAlign w:val="center"/>
                </w:tcPr>
                <w:p w14:paraId="164EA029">
                  <w:pPr>
                    <w:pStyle w:val="51"/>
                    <w:bidi w:val="0"/>
                  </w:pPr>
                  <w:r>
                    <w:t xml:space="preserve">0.269 </w:t>
                  </w:r>
                </w:p>
              </w:tc>
            </w:tr>
            <w:tr w14:paraId="7817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8" w:type="dxa"/>
                  <w:vMerge w:val="continue"/>
                  <w:vAlign w:val="center"/>
                </w:tcPr>
                <w:p w14:paraId="007BA46A">
                  <w:pPr>
                    <w:pStyle w:val="51"/>
                    <w:bidi w:val="0"/>
                  </w:pPr>
                </w:p>
              </w:tc>
              <w:tc>
                <w:tcPr>
                  <w:tcW w:w="1746" w:type="dxa"/>
                  <w:vAlign w:val="center"/>
                </w:tcPr>
                <w:p w14:paraId="6AF2BDEB">
                  <w:pPr>
                    <w:pStyle w:val="51"/>
                    <w:bidi w:val="0"/>
                  </w:pPr>
                  <w:r>
                    <w:rPr>
                      <w:rFonts w:hint="eastAsia"/>
                    </w:rPr>
                    <w:t>6~10#加弹机</w:t>
                  </w:r>
                </w:p>
              </w:tc>
              <w:tc>
                <w:tcPr>
                  <w:tcW w:w="1532" w:type="dxa"/>
                  <w:vAlign w:val="center"/>
                </w:tcPr>
                <w:p w14:paraId="0CCC21C2">
                  <w:pPr>
                    <w:pStyle w:val="51"/>
                    <w:bidi w:val="0"/>
                  </w:pPr>
                  <w:r>
                    <w:rPr>
                      <w:rFonts w:hint="eastAsia"/>
                    </w:rPr>
                    <w:t>非甲烷总烃</w:t>
                  </w:r>
                </w:p>
              </w:tc>
              <w:tc>
                <w:tcPr>
                  <w:tcW w:w="1176" w:type="dxa"/>
                  <w:vAlign w:val="center"/>
                </w:tcPr>
                <w:p w14:paraId="34975264">
                  <w:pPr>
                    <w:pStyle w:val="51"/>
                    <w:bidi w:val="0"/>
                  </w:pPr>
                  <w:r>
                    <w:rPr>
                      <w:rFonts w:hint="eastAsia"/>
                    </w:rPr>
                    <w:t>15000</w:t>
                  </w:r>
                </w:p>
              </w:tc>
              <w:tc>
                <w:tcPr>
                  <w:tcW w:w="1440" w:type="dxa"/>
                  <w:shd w:val="clear" w:color="auto" w:fill="auto"/>
                  <w:vAlign w:val="center"/>
                </w:tcPr>
                <w:p w14:paraId="1258EB86">
                  <w:pPr>
                    <w:pStyle w:val="51"/>
                    <w:bidi w:val="0"/>
                  </w:pPr>
                  <w:r>
                    <w:t xml:space="preserve">17.907 </w:t>
                  </w:r>
                </w:p>
              </w:tc>
              <w:tc>
                <w:tcPr>
                  <w:tcW w:w="1441" w:type="dxa"/>
                  <w:shd w:val="clear" w:color="auto" w:fill="auto"/>
                  <w:vAlign w:val="center"/>
                </w:tcPr>
                <w:p w14:paraId="08F1CD75">
                  <w:pPr>
                    <w:pStyle w:val="51"/>
                    <w:bidi w:val="0"/>
                  </w:pPr>
                  <w:r>
                    <w:t xml:space="preserve">0.269 </w:t>
                  </w:r>
                </w:p>
              </w:tc>
            </w:tr>
            <w:tr w14:paraId="0B13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14:paraId="32E57FF6">
                  <w:pPr>
                    <w:pStyle w:val="51"/>
                    <w:bidi w:val="0"/>
                  </w:pPr>
                </w:p>
              </w:tc>
              <w:tc>
                <w:tcPr>
                  <w:tcW w:w="1746" w:type="dxa"/>
                  <w:vAlign w:val="center"/>
                </w:tcPr>
                <w:p w14:paraId="51BA84BA">
                  <w:pPr>
                    <w:pStyle w:val="51"/>
                    <w:bidi w:val="0"/>
                  </w:pPr>
                  <w:r>
                    <w:rPr>
                      <w:rFonts w:hint="eastAsia"/>
                    </w:rPr>
                    <w:t>11~15#加弹机</w:t>
                  </w:r>
                </w:p>
              </w:tc>
              <w:tc>
                <w:tcPr>
                  <w:tcW w:w="1532" w:type="dxa"/>
                  <w:vAlign w:val="center"/>
                </w:tcPr>
                <w:p w14:paraId="217CF2A2">
                  <w:pPr>
                    <w:pStyle w:val="51"/>
                    <w:bidi w:val="0"/>
                  </w:pPr>
                  <w:r>
                    <w:rPr>
                      <w:rFonts w:hint="eastAsia"/>
                    </w:rPr>
                    <w:t>非甲烷总烃</w:t>
                  </w:r>
                </w:p>
              </w:tc>
              <w:tc>
                <w:tcPr>
                  <w:tcW w:w="1176" w:type="dxa"/>
                  <w:vAlign w:val="center"/>
                </w:tcPr>
                <w:p w14:paraId="171B9D64">
                  <w:pPr>
                    <w:pStyle w:val="51"/>
                    <w:bidi w:val="0"/>
                  </w:pPr>
                  <w:r>
                    <w:rPr>
                      <w:rFonts w:hint="eastAsia"/>
                    </w:rPr>
                    <w:t>15000</w:t>
                  </w:r>
                </w:p>
              </w:tc>
              <w:tc>
                <w:tcPr>
                  <w:tcW w:w="1440" w:type="dxa"/>
                  <w:shd w:val="clear" w:color="auto" w:fill="auto"/>
                  <w:vAlign w:val="center"/>
                </w:tcPr>
                <w:p w14:paraId="63AD676D">
                  <w:pPr>
                    <w:pStyle w:val="51"/>
                    <w:bidi w:val="0"/>
                  </w:pPr>
                  <w:r>
                    <w:t xml:space="preserve">17.907 </w:t>
                  </w:r>
                </w:p>
              </w:tc>
              <w:tc>
                <w:tcPr>
                  <w:tcW w:w="1441" w:type="dxa"/>
                  <w:shd w:val="clear" w:color="auto" w:fill="auto"/>
                  <w:vAlign w:val="center"/>
                </w:tcPr>
                <w:p w14:paraId="500466F3">
                  <w:pPr>
                    <w:pStyle w:val="51"/>
                    <w:bidi w:val="0"/>
                  </w:pPr>
                  <w:r>
                    <w:t xml:space="preserve">0.269 </w:t>
                  </w:r>
                </w:p>
              </w:tc>
            </w:tr>
            <w:tr w14:paraId="7A48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14:paraId="786CE279">
                  <w:pPr>
                    <w:pStyle w:val="51"/>
                    <w:bidi w:val="0"/>
                  </w:pPr>
                </w:p>
              </w:tc>
              <w:tc>
                <w:tcPr>
                  <w:tcW w:w="1746" w:type="dxa"/>
                  <w:vAlign w:val="center"/>
                </w:tcPr>
                <w:p w14:paraId="2F1167A4">
                  <w:pPr>
                    <w:pStyle w:val="51"/>
                    <w:bidi w:val="0"/>
                  </w:pPr>
                  <w:r>
                    <w:rPr>
                      <w:rFonts w:hint="eastAsia"/>
                    </w:rPr>
                    <w:t>1</w:t>
                  </w:r>
                  <w:r>
                    <w:rPr>
                      <w:rFonts w:hint="eastAsia"/>
                      <w:lang w:val="en-US" w:eastAsia="zh-CN"/>
                    </w:rPr>
                    <w:t>6</w:t>
                  </w:r>
                  <w:r>
                    <w:rPr>
                      <w:rFonts w:hint="eastAsia"/>
                    </w:rPr>
                    <w:t>~20#加弹机</w:t>
                  </w:r>
                </w:p>
              </w:tc>
              <w:tc>
                <w:tcPr>
                  <w:tcW w:w="1532" w:type="dxa"/>
                  <w:vAlign w:val="center"/>
                </w:tcPr>
                <w:p w14:paraId="67649B4E">
                  <w:pPr>
                    <w:pStyle w:val="51"/>
                    <w:bidi w:val="0"/>
                  </w:pPr>
                  <w:r>
                    <w:rPr>
                      <w:rFonts w:hint="eastAsia"/>
                    </w:rPr>
                    <w:t>非甲烷总烃</w:t>
                  </w:r>
                </w:p>
              </w:tc>
              <w:tc>
                <w:tcPr>
                  <w:tcW w:w="1176" w:type="dxa"/>
                  <w:vAlign w:val="center"/>
                </w:tcPr>
                <w:p w14:paraId="6556697E">
                  <w:pPr>
                    <w:pStyle w:val="51"/>
                    <w:bidi w:val="0"/>
                  </w:pPr>
                  <w:r>
                    <w:rPr>
                      <w:rFonts w:hint="eastAsia"/>
                    </w:rPr>
                    <w:t>15000</w:t>
                  </w:r>
                </w:p>
              </w:tc>
              <w:tc>
                <w:tcPr>
                  <w:tcW w:w="1440" w:type="dxa"/>
                  <w:shd w:val="clear" w:color="auto" w:fill="auto"/>
                  <w:vAlign w:val="center"/>
                </w:tcPr>
                <w:p w14:paraId="01741C4A">
                  <w:pPr>
                    <w:pStyle w:val="51"/>
                    <w:bidi w:val="0"/>
                  </w:pPr>
                  <w:r>
                    <w:t xml:space="preserve">17.907 </w:t>
                  </w:r>
                </w:p>
              </w:tc>
              <w:tc>
                <w:tcPr>
                  <w:tcW w:w="1441" w:type="dxa"/>
                  <w:shd w:val="clear" w:color="auto" w:fill="auto"/>
                  <w:vAlign w:val="center"/>
                </w:tcPr>
                <w:p w14:paraId="05003E06">
                  <w:pPr>
                    <w:pStyle w:val="51"/>
                    <w:bidi w:val="0"/>
                  </w:pPr>
                  <w:r>
                    <w:t xml:space="preserve">0.269 </w:t>
                  </w:r>
                </w:p>
              </w:tc>
            </w:tr>
            <w:tr w14:paraId="1BC3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5B7B1BA7">
                  <w:pPr>
                    <w:pStyle w:val="51"/>
                    <w:bidi w:val="0"/>
                  </w:pPr>
                  <w:r>
                    <w:rPr>
                      <w:rFonts w:hint="eastAsia"/>
                    </w:rPr>
                    <w:t>危废仓库</w:t>
                  </w:r>
                </w:p>
              </w:tc>
              <w:tc>
                <w:tcPr>
                  <w:tcW w:w="1746" w:type="dxa"/>
                  <w:vAlign w:val="center"/>
                </w:tcPr>
                <w:p w14:paraId="7795FD43">
                  <w:pPr>
                    <w:pStyle w:val="51"/>
                    <w:bidi w:val="0"/>
                  </w:pPr>
                  <w:r>
                    <w:rPr>
                      <w:rFonts w:hint="eastAsia"/>
                    </w:rPr>
                    <w:t>危废</w:t>
                  </w:r>
                </w:p>
              </w:tc>
              <w:tc>
                <w:tcPr>
                  <w:tcW w:w="1532" w:type="dxa"/>
                  <w:vAlign w:val="center"/>
                </w:tcPr>
                <w:p w14:paraId="6549AA94">
                  <w:pPr>
                    <w:pStyle w:val="51"/>
                    <w:bidi w:val="0"/>
                  </w:pPr>
                  <w:r>
                    <w:rPr>
                      <w:rFonts w:hint="eastAsia"/>
                    </w:rPr>
                    <w:t>非甲烷总烃</w:t>
                  </w:r>
                </w:p>
              </w:tc>
              <w:tc>
                <w:tcPr>
                  <w:tcW w:w="1176" w:type="dxa"/>
                  <w:vAlign w:val="center"/>
                </w:tcPr>
                <w:p w14:paraId="12303CEC">
                  <w:pPr>
                    <w:pStyle w:val="51"/>
                    <w:bidi w:val="0"/>
                  </w:pPr>
                  <w:r>
                    <w:rPr>
                      <w:rFonts w:hint="eastAsia"/>
                    </w:rPr>
                    <w:t>15000</w:t>
                  </w:r>
                </w:p>
              </w:tc>
              <w:tc>
                <w:tcPr>
                  <w:tcW w:w="1440" w:type="dxa"/>
                  <w:shd w:val="clear" w:color="auto" w:fill="auto"/>
                  <w:vAlign w:val="center"/>
                </w:tcPr>
                <w:p w14:paraId="20F6C1F7">
                  <w:pPr>
                    <w:pStyle w:val="51"/>
                    <w:bidi w:val="0"/>
                  </w:pPr>
                  <w:r>
                    <w:rPr>
                      <w:rFonts w:hint="default"/>
                      <w:lang w:val="en-US" w:eastAsia="zh-CN"/>
                    </w:rPr>
                    <w:t xml:space="preserve">0.2392 </w:t>
                  </w:r>
                </w:p>
              </w:tc>
              <w:tc>
                <w:tcPr>
                  <w:tcW w:w="1441" w:type="dxa"/>
                  <w:shd w:val="clear" w:color="auto" w:fill="auto"/>
                  <w:vAlign w:val="center"/>
                </w:tcPr>
                <w:p w14:paraId="48D5DC6B">
                  <w:pPr>
                    <w:pStyle w:val="51"/>
                    <w:bidi w:val="0"/>
                  </w:pPr>
                  <w:r>
                    <w:rPr>
                      <w:rFonts w:hint="default"/>
                      <w:lang w:val="en-US" w:eastAsia="zh-CN"/>
                    </w:rPr>
                    <w:t xml:space="preserve"> 0.0036 </w:t>
                  </w:r>
                </w:p>
              </w:tc>
            </w:tr>
          </w:tbl>
          <w:p w14:paraId="6836A7AB">
            <w:pPr>
              <w:pStyle w:val="47"/>
              <w:ind w:firstLine="480"/>
              <w:rPr>
                <w:color w:val="auto"/>
              </w:rPr>
            </w:pPr>
            <w:r>
              <w:rPr>
                <w:color w:val="auto"/>
              </w:rPr>
              <w:t>当高压静电油烟净化器出现故障不能正常运行时，采取暂时停产、抓紧维修措施，维修完毕后再开始生产。为减少对环境的影响，在开产前应先打开废气处理装置，再开始生产。</w:t>
            </w:r>
          </w:p>
          <w:p w14:paraId="19C54518">
            <w:pPr>
              <w:pStyle w:val="47"/>
              <w:ind w:firstLine="482"/>
              <w:rPr>
                <w:b/>
                <w:bCs/>
                <w:color w:val="auto"/>
              </w:rPr>
            </w:pPr>
            <w:r>
              <w:rPr>
                <w:b/>
                <w:bCs/>
                <w:color w:val="auto"/>
              </w:rPr>
              <w:t>（5）卫生防护距离</w:t>
            </w:r>
          </w:p>
          <w:p w14:paraId="46E90183">
            <w:pPr>
              <w:pStyle w:val="47"/>
              <w:ind w:firstLine="480"/>
              <w:rPr>
                <w:color w:val="auto"/>
              </w:rPr>
            </w:pPr>
            <w:r>
              <w:rPr>
                <w:color w:val="auto"/>
              </w:rPr>
              <w:t>根据《大气有害物质无组织排放卫生防护距离推导技术导则》（GB/T39499-2020）规定，当目标企业无组织排放存在多种有毒有害污染物时，基于单个污染物的等标排放量计算结果，优先选择等标排放量最大的污染物为企业无组织排放的主要特征大气有害物质。当前两种污染物的等标排放量相差在10%以内时，需要同时选择这两种特征大气有害物质分别计算卫生防护距离初值。</w:t>
            </w:r>
          </w:p>
          <w:p w14:paraId="50CAAD23">
            <w:pPr>
              <w:pStyle w:val="47"/>
              <w:ind w:firstLine="480"/>
              <w:rPr>
                <w:color w:val="auto"/>
                <w:szCs w:val="24"/>
              </w:rPr>
            </w:pPr>
            <w:r>
              <w:rPr>
                <w:color w:val="auto"/>
                <w:szCs w:val="24"/>
              </w:rPr>
              <w:t>计算公式如下：</w:t>
            </w:r>
          </w:p>
          <w:p w14:paraId="4076F996">
            <w:pPr>
              <w:pStyle w:val="47"/>
              <w:ind w:firstLine="0" w:firstLineChars="0"/>
              <w:jc w:val="center"/>
              <w:rPr>
                <w:color w:val="auto"/>
                <w:szCs w:val="24"/>
              </w:rPr>
            </w:pPr>
            <w:r>
              <w:rPr>
                <w:color w:val="auto"/>
                <w:position w:val="-30"/>
                <w:lang w:bidi="ar"/>
              </w:rPr>
              <w:object>
                <v:shape id="_x0000_i1025" o:spt="75" type="#_x0000_t75" style="height:34pt;width:147.4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p>
          <w:p w14:paraId="4E6A7F11">
            <w:pPr>
              <w:pStyle w:val="47"/>
              <w:ind w:firstLine="480"/>
              <w:rPr>
                <w:color w:val="auto"/>
              </w:rPr>
            </w:pPr>
            <w:r>
              <w:rPr>
                <w:color w:val="auto"/>
              </w:rPr>
              <w:t>式中：Q</w:t>
            </w:r>
            <w:r>
              <w:rPr>
                <w:color w:val="auto"/>
                <w:vertAlign w:val="subscript"/>
              </w:rPr>
              <w:t>C</w:t>
            </w:r>
            <w:r>
              <w:rPr>
                <w:color w:val="auto"/>
              </w:rPr>
              <w:t>——大气有害物质的无组织排放量，kg/h；</w:t>
            </w:r>
          </w:p>
          <w:p w14:paraId="42867BD6">
            <w:pPr>
              <w:pStyle w:val="47"/>
              <w:ind w:left="735" w:leftChars="350" w:firstLine="480"/>
              <w:rPr>
                <w:color w:val="auto"/>
              </w:rPr>
            </w:pPr>
            <w:r>
              <w:rPr>
                <w:color w:val="auto"/>
              </w:rPr>
              <w:t>C</w:t>
            </w:r>
            <w:r>
              <w:rPr>
                <w:color w:val="auto"/>
                <w:vertAlign w:val="subscript"/>
              </w:rPr>
              <w:t>m</w:t>
            </w:r>
            <w:r>
              <w:rPr>
                <w:color w:val="auto"/>
              </w:rPr>
              <w:t>——大气有害物质环境空气质量的标准限值，mg/m</w:t>
            </w:r>
            <w:r>
              <w:rPr>
                <w:color w:val="auto"/>
                <w:vertAlign w:val="superscript"/>
              </w:rPr>
              <w:t>3</w:t>
            </w:r>
            <w:r>
              <w:rPr>
                <w:color w:val="auto"/>
              </w:rPr>
              <w:t>；</w:t>
            </w:r>
          </w:p>
          <w:p w14:paraId="2493E5E3">
            <w:pPr>
              <w:pStyle w:val="47"/>
              <w:ind w:left="735" w:leftChars="350" w:firstLine="480"/>
              <w:rPr>
                <w:color w:val="auto"/>
              </w:rPr>
            </w:pPr>
            <w:r>
              <w:rPr>
                <w:color w:val="auto"/>
              </w:rPr>
              <w:t>L——大气有害物质卫生防护距离初值，m；</w:t>
            </w:r>
          </w:p>
          <w:p w14:paraId="52803066">
            <w:pPr>
              <w:pStyle w:val="47"/>
              <w:ind w:left="735" w:leftChars="350" w:firstLine="480"/>
              <w:rPr>
                <w:color w:val="auto"/>
              </w:rPr>
            </w:pPr>
            <w:r>
              <w:rPr>
                <w:color w:val="auto"/>
              </w:rPr>
              <w:t>r——大气有害物质无组织排放源所在生产单元的等效半径，m；</w:t>
            </w:r>
          </w:p>
          <w:p w14:paraId="6A7C7220">
            <w:pPr>
              <w:pStyle w:val="47"/>
              <w:ind w:left="735" w:leftChars="350" w:firstLine="480"/>
              <w:rPr>
                <w:color w:val="auto"/>
              </w:rPr>
            </w:pPr>
            <w:r>
              <w:rPr>
                <w:color w:val="auto"/>
              </w:rPr>
              <w:t>A、B、C、D——卫生防护距离初值计算系数，无因次。</w:t>
            </w:r>
          </w:p>
          <w:p w14:paraId="7BE53082">
            <w:pPr>
              <w:pStyle w:val="47"/>
              <w:ind w:firstLine="480"/>
              <w:rPr>
                <w:color w:val="auto"/>
              </w:rPr>
            </w:pPr>
            <w:r>
              <w:rPr>
                <w:color w:val="auto"/>
              </w:rPr>
              <w:t>该地区的平均风速为</w:t>
            </w:r>
            <w:r>
              <w:rPr>
                <w:rFonts w:hint="eastAsia"/>
                <w:color w:val="auto"/>
              </w:rPr>
              <w:t>2.8</w:t>
            </w:r>
            <w:r>
              <w:rPr>
                <w:color w:val="auto"/>
              </w:rPr>
              <w:t>m/s，A、B、C、D值的选取见</w:t>
            </w:r>
            <w:r>
              <w:rPr>
                <w:color w:val="auto"/>
              </w:rPr>
              <w:fldChar w:fldCharType="begin"/>
            </w:r>
            <w:r>
              <w:rPr>
                <w:color w:val="auto"/>
              </w:rPr>
              <w:instrText xml:space="preserve"> REF _Ref29700 \h </w:instrText>
            </w:r>
            <w:r>
              <w:rPr>
                <w:color w:val="auto"/>
              </w:rPr>
              <w:fldChar w:fldCharType="separate"/>
            </w:r>
            <w:r>
              <w:rPr>
                <w:color w:val="auto"/>
              </w:rPr>
              <w:t>表4- 6</w:t>
            </w:r>
            <w:r>
              <w:rPr>
                <w:color w:val="auto"/>
              </w:rPr>
              <w:fldChar w:fldCharType="end"/>
            </w:r>
            <w:r>
              <w:rPr>
                <w:color w:val="auto"/>
              </w:rPr>
              <w:t>。</w:t>
            </w:r>
          </w:p>
          <w:p w14:paraId="1994F3AE">
            <w:pPr>
              <w:pStyle w:val="7"/>
              <w:rPr>
                <w:color w:val="auto"/>
              </w:rPr>
            </w:pPr>
            <w:bookmarkStart w:id="55" w:name="_Ref29700"/>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6</w:t>
            </w:r>
            <w:r>
              <w:rPr>
                <w:color w:val="auto"/>
              </w:rPr>
              <w:fldChar w:fldCharType="end"/>
            </w:r>
            <w:bookmarkEnd w:id="55"/>
            <w:r>
              <w:rPr>
                <w:color w:val="auto"/>
              </w:rPr>
              <w:t xml:space="preserve"> 卫生防护距离计算系数</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66"/>
              <w:gridCol w:w="766"/>
              <w:gridCol w:w="766"/>
              <w:gridCol w:w="766"/>
              <w:gridCol w:w="766"/>
              <w:gridCol w:w="766"/>
              <w:gridCol w:w="766"/>
              <w:gridCol w:w="766"/>
              <w:gridCol w:w="766"/>
              <w:gridCol w:w="774"/>
            </w:tblGrid>
            <w:tr w14:paraId="4A4C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54" w:type="pct"/>
                  <w:vMerge w:val="restart"/>
                  <w:tcBorders>
                    <w:tl2br w:val="nil"/>
                    <w:tr2bl w:val="nil"/>
                  </w:tcBorders>
                  <w:shd w:val="clear" w:color="auto" w:fill="auto"/>
                  <w:vAlign w:val="center"/>
                </w:tcPr>
                <w:p w14:paraId="12CD1642">
                  <w:pPr>
                    <w:pStyle w:val="49"/>
                    <w:rPr>
                      <w:color w:val="auto"/>
                    </w:rPr>
                  </w:pPr>
                  <w:r>
                    <w:rPr>
                      <w:color w:val="auto"/>
                    </w:rPr>
                    <w:t>计算系数</w:t>
                  </w:r>
                </w:p>
              </w:tc>
              <w:tc>
                <w:tcPr>
                  <w:tcW w:w="454" w:type="pct"/>
                  <w:vMerge w:val="restart"/>
                  <w:tcBorders>
                    <w:tl2br w:val="nil"/>
                    <w:tr2bl w:val="nil"/>
                  </w:tcBorders>
                  <w:shd w:val="clear" w:color="auto" w:fill="auto"/>
                  <w:vAlign w:val="center"/>
                </w:tcPr>
                <w:p w14:paraId="4FB0CB54">
                  <w:pPr>
                    <w:pStyle w:val="49"/>
                    <w:rPr>
                      <w:color w:val="auto"/>
                    </w:rPr>
                  </w:pPr>
                  <w:r>
                    <w:rPr>
                      <w:color w:val="auto"/>
                    </w:rPr>
                    <w:t>5年平均风速m/s</w:t>
                  </w:r>
                </w:p>
              </w:tc>
              <w:tc>
                <w:tcPr>
                  <w:tcW w:w="4091" w:type="pct"/>
                  <w:gridSpan w:val="9"/>
                  <w:tcBorders>
                    <w:tl2br w:val="nil"/>
                    <w:tr2bl w:val="nil"/>
                  </w:tcBorders>
                  <w:shd w:val="clear" w:color="auto" w:fill="auto"/>
                  <w:vAlign w:val="center"/>
                </w:tcPr>
                <w:p w14:paraId="4805F5CE">
                  <w:pPr>
                    <w:pStyle w:val="49"/>
                    <w:rPr>
                      <w:color w:val="auto"/>
                    </w:rPr>
                  </w:pPr>
                  <w:r>
                    <w:rPr>
                      <w:color w:val="auto"/>
                    </w:rPr>
                    <w:t>卫生防护距离计算系数L，m</w:t>
                  </w:r>
                </w:p>
              </w:tc>
            </w:tr>
            <w:tr w14:paraId="29BA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54" w:type="pct"/>
                  <w:vMerge w:val="continue"/>
                  <w:tcBorders>
                    <w:tl2br w:val="nil"/>
                    <w:tr2bl w:val="nil"/>
                  </w:tcBorders>
                  <w:shd w:val="clear" w:color="auto" w:fill="auto"/>
                  <w:vAlign w:val="center"/>
                </w:tcPr>
                <w:p w14:paraId="5D5B515B">
                  <w:pPr>
                    <w:pStyle w:val="49"/>
                    <w:rPr>
                      <w:color w:val="auto"/>
                    </w:rPr>
                  </w:pPr>
                </w:p>
              </w:tc>
              <w:tc>
                <w:tcPr>
                  <w:tcW w:w="454" w:type="pct"/>
                  <w:vMerge w:val="continue"/>
                  <w:tcBorders>
                    <w:tl2br w:val="nil"/>
                    <w:tr2bl w:val="nil"/>
                  </w:tcBorders>
                  <w:shd w:val="clear" w:color="auto" w:fill="auto"/>
                  <w:vAlign w:val="center"/>
                </w:tcPr>
                <w:p w14:paraId="395EC17A">
                  <w:pPr>
                    <w:pStyle w:val="49"/>
                    <w:rPr>
                      <w:color w:val="auto"/>
                    </w:rPr>
                  </w:pPr>
                </w:p>
              </w:tc>
              <w:tc>
                <w:tcPr>
                  <w:tcW w:w="1362" w:type="pct"/>
                  <w:gridSpan w:val="3"/>
                  <w:tcBorders>
                    <w:tl2br w:val="nil"/>
                    <w:tr2bl w:val="nil"/>
                  </w:tcBorders>
                  <w:shd w:val="clear" w:color="auto" w:fill="auto"/>
                  <w:vAlign w:val="center"/>
                </w:tcPr>
                <w:p w14:paraId="631126C7">
                  <w:pPr>
                    <w:pStyle w:val="49"/>
                    <w:rPr>
                      <w:color w:val="auto"/>
                    </w:rPr>
                  </w:pPr>
                  <w:r>
                    <w:rPr>
                      <w:color w:val="auto"/>
                    </w:rPr>
                    <w:t>L≤1000</w:t>
                  </w:r>
                </w:p>
              </w:tc>
              <w:tc>
                <w:tcPr>
                  <w:tcW w:w="1362" w:type="pct"/>
                  <w:gridSpan w:val="3"/>
                  <w:tcBorders>
                    <w:tl2br w:val="nil"/>
                    <w:tr2bl w:val="nil"/>
                  </w:tcBorders>
                  <w:shd w:val="clear" w:color="auto" w:fill="auto"/>
                  <w:vAlign w:val="center"/>
                </w:tcPr>
                <w:p w14:paraId="13C4CC8C">
                  <w:pPr>
                    <w:pStyle w:val="49"/>
                    <w:rPr>
                      <w:color w:val="auto"/>
                    </w:rPr>
                  </w:pPr>
                  <w:r>
                    <w:rPr>
                      <w:color w:val="auto"/>
                    </w:rPr>
                    <w:t>1000&lt;L≤2000</w:t>
                  </w:r>
                </w:p>
              </w:tc>
              <w:tc>
                <w:tcPr>
                  <w:tcW w:w="1366" w:type="pct"/>
                  <w:gridSpan w:val="3"/>
                  <w:tcBorders>
                    <w:tl2br w:val="nil"/>
                    <w:tr2bl w:val="nil"/>
                  </w:tcBorders>
                  <w:shd w:val="clear" w:color="auto" w:fill="auto"/>
                  <w:vAlign w:val="center"/>
                </w:tcPr>
                <w:p w14:paraId="5BE6A9E1">
                  <w:pPr>
                    <w:pStyle w:val="49"/>
                    <w:rPr>
                      <w:color w:val="auto"/>
                    </w:rPr>
                  </w:pPr>
                  <w:r>
                    <w:rPr>
                      <w:color w:val="auto"/>
                    </w:rPr>
                    <w:t>L&gt;2000</w:t>
                  </w:r>
                </w:p>
              </w:tc>
            </w:tr>
            <w:tr w14:paraId="1E91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54" w:type="pct"/>
                  <w:vMerge w:val="continue"/>
                  <w:tcBorders>
                    <w:tl2br w:val="nil"/>
                    <w:tr2bl w:val="nil"/>
                  </w:tcBorders>
                  <w:shd w:val="clear" w:color="auto" w:fill="auto"/>
                  <w:vAlign w:val="center"/>
                </w:tcPr>
                <w:p w14:paraId="6C2A5BBB">
                  <w:pPr>
                    <w:pStyle w:val="49"/>
                    <w:rPr>
                      <w:color w:val="auto"/>
                    </w:rPr>
                  </w:pPr>
                </w:p>
              </w:tc>
              <w:tc>
                <w:tcPr>
                  <w:tcW w:w="454" w:type="pct"/>
                  <w:vMerge w:val="continue"/>
                  <w:tcBorders>
                    <w:tl2br w:val="nil"/>
                    <w:tr2bl w:val="nil"/>
                  </w:tcBorders>
                  <w:shd w:val="clear" w:color="auto" w:fill="auto"/>
                  <w:vAlign w:val="center"/>
                </w:tcPr>
                <w:p w14:paraId="479CF194">
                  <w:pPr>
                    <w:pStyle w:val="49"/>
                    <w:rPr>
                      <w:color w:val="auto"/>
                    </w:rPr>
                  </w:pPr>
                </w:p>
              </w:tc>
              <w:tc>
                <w:tcPr>
                  <w:tcW w:w="454" w:type="pct"/>
                  <w:tcBorders>
                    <w:tl2br w:val="nil"/>
                    <w:tr2bl w:val="nil"/>
                  </w:tcBorders>
                  <w:shd w:val="clear" w:color="auto" w:fill="auto"/>
                  <w:vAlign w:val="center"/>
                </w:tcPr>
                <w:p w14:paraId="0F3B2B04">
                  <w:pPr>
                    <w:pStyle w:val="49"/>
                    <w:rPr>
                      <w:color w:val="auto"/>
                    </w:rPr>
                  </w:pPr>
                  <w:r>
                    <w:rPr>
                      <w:color w:val="auto"/>
                    </w:rPr>
                    <w:t>Ⅰ</w:t>
                  </w:r>
                </w:p>
              </w:tc>
              <w:tc>
                <w:tcPr>
                  <w:tcW w:w="454" w:type="pct"/>
                  <w:tcBorders>
                    <w:tl2br w:val="nil"/>
                    <w:tr2bl w:val="nil"/>
                  </w:tcBorders>
                  <w:shd w:val="clear" w:color="auto" w:fill="auto"/>
                  <w:vAlign w:val="center"/>
                </w:tcPr>
                <w:p w14:paraId="43FF98CE">
                  <w:pPr>
                    <w:pStyle w:val="49"/>
                    <w:rPr>
                      <w:color w:val="auto"/>
                    </w:rPr>
                  </w:pPr>
                  <w:r>
                    <w:rPr>
                      <w:color w:val="auto"/>
                    </w:rPr>
                    <w:t>Ⅱ</w:t>
                  </w:r>
                </w:p>
              </w:tc>
              <w:tc>
                <w:tcPr>
                  <w:tcW w:w="454" w:type="pct"/>
                  <w:tcBorders>
                    <w:tl2br w:val="nil"/>
                    <w:tr2bl w:val="nil"/>
                  </w:tcBorders>
                  <w:shd w:val="clear" w:color="auto" w:fill="auto"/>
                  <w:vAlign w:val="center"/>
                </w:tcPr>
                <w:p w14:paraId="76378355">
                  <w:pPr>
                    <w:pStyle w:val="49"/>
                    <w:rPr>
                      <w:color w:val="auto"/>
                    </w:rPr>
                  </w:pPr>
                  <w:r>
                    <w:rPr>
                      <w:color w:val="auto"/>
                    </w:rPr>
                    <w:t>Ⅲ</w:t>
                  </w:r>
                </w:p>
              </w:tc>
              <w:tc>
                <w:tcPr>
                  <w:tcW w:w="454" w:type="pct"/>
                  <w:tcBorders>
                    <w:tl2br w:val="nil"/>
                    <w:tr2bl w:val="nil"/>
                  </w:tcBorders>
                  <w:shd w:val="clear" w:color="auto" w:fill="auto"/>
                  <w:vAlign w:val="center"/>
                </w:tcPr>
                <w:p w14:paraId="3275D6D8">
                  <w:pPr>
                    <w:pStyle w:val="49"/>
                    <w:rPr>
                      <w:color w:val="auto"/>
                    </w:rPr>
                  </w:pPr>
                  <w:r>
                    <w:rPr>
                      <w:color w:val="auto"/>
                    </w:rPr>
                    <w:t>Ⅰ</w:t>
                  </w:r>
                </w:p>
              </w:tc>
              <w:tc>
                <w:tcPr>
                  <w:tcW w:w="454" w:type="pct"/>
                  <w:tcBorders>
                    <w:tl2br w:val="nil"/>
                    <w:tr2bl w:val="nil"/>
                  </w:tcBorders>
                  <w:shd w:val="clear" w:color="auto" w:fill="auto"/>
                  <w:vAlign w:val="center"/>
                </w:tcPr>
                <w:p w14:paraId="5C8F9951">
                  <w:pPr>
                    <w:pStyle w:val="49"/>
                    <w:rPr>
                      <w:color w:val="auto"/>
                    </w:rPr>
                  </w:pPr>
                  <w:r>
                    <w:rPr>
                      <w:color w:val="auto"/>
                    </w:rPr>
                    <w:t>Ⅱ</w:t>
                  </w:r>
                </w:p>
              </w:tc>
              <w:tc>
                <w:tcPr>
                  <w:tcW w:w="454" w:type="pct"/>
                  <w:tcBorders>
                    <w:tl2br w:val="nil"/>
                    <w:tr2bl w:val="nil"/>
                  </w:tcBorders>
                  <w:shd w:val="clear" w:color="auto" w:fill="auto"/>
                  <w:vAlign w:val="center"/>
                </w:tcPr>
                <w:p w14:paraId="2293A893">
                  <w:pPr>
                    <w:pStyle w:val="49"/>
                    <w:rPr>
                      <w:color w:val="auto"/>
                    </w:rPr>
                  </w:pPr>
                  <w:r>
                    <w:rPr>
                      <w:color w:val="auto"/>
                    </w:rPr>
                    <w:t>Ⅲ</w:t>
                  </w:r>
                </w:p>
              </w:tc>
              <w:tc>
                <w:tcPr>
                  <w:tcW w:w="454" w:type="pct"/>
                  <w:tcBorders>
                    <w:tl2br w:val="nil"/>
                    <w:tr2bl w:val="nil"/>
                  </w:tcBorders>
                  <w:shd w:val="clear" w:color="auto" w:fill="auto"/>
                  <w:vAlign w:val="center"/>
                </w:tcPr>
                <w:p w14:paraId="745F8863">
                  <w:pPr>
                    <w:pStyle w:val="49"/>
                    <w:rPr>
                      <w:color w:val="auto"/>
                    </w:rPr>
                  </w:pPr>
                  <w:r>
                    <w:rPr>
                      <w:color w:val="auto"/>
                    </w:rPr>
                    <w:t>Ⅰ</w:t>
                  </w:r>
                </w:p>
              </w:tc>
              <w:tc>
                <w:tcPr>
                  <w:tcW w:w="454" w:type="pct"/>
                  <w:tcBorders>
                    <w:tl2br w:val="nil"/>
                    <w:tr2bl w:val="nil"/>
                  </w:tcBorders>
                  <w:shd w:val="clear" w:color="auto" w:fill="auto"/>
                  <w:vAlign w:val="center"/>
                </w:tcPr>
                <w:p w14:paraId="61DDE926">
                  <w:pPr>
                    <w:pStyle w:val="49"/>
                    <w:rPr>
                      <w:color w:val="auto"/>
                    </w:rPr>
                  </w:pPr>
                  <w:r>
                    <w:rPr>
                      <w:color w:val="auto"/>
                    </w:rPr>
                    <w:t>Ⅱ</w:t>
                  </w:r>
                </w:p>
              </w:tc>
              <w:tc>
                <w:tcPr>
                  <w:tcW w:w="458" w:type="pct"/>
                  <w:tcBorders>
                    <w:tl2br w:val="nil"/>
                    <w:tr2bl w:val="nil"/>
                  </w:tcBorders>
                  <w:shd w:val="clear" w:color="auto" w:fill="auto"/>
                  <w:vAlign w:val="center"/>
                </w:tcPr>
                <w:p w14:paraId="54087059">
                  <w:pPr>
                    <w:pStyle w:val="49"/>
                    <w:rPr>
                      <w:color w:val="auto"/>
                    </w:rPr>
                  </w:pPr>
                  <w:r>
                    <w:rPr>
                      <w:color w:val="auto"/>
                    </w:rPr>
                    <w:t>Ⅲ</w:t>
                  </w:r>
                </w:p>
              </w:tc>
            </w:tr>
            <w:tr w14:paraId="0D7A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54" w:type="pct"/>
                  <w:vMerge w:val="restart"/>
                  <w:tcBorders>
                    <w:tl2br w:val="nil"/>
                    <w:tr2bl w:val="nil"/>
                  </w:tcBorders>
                  <w:shd w:val="clear" w:color="auto" w:fill="auto"/>
                  <w:vAlign w:val="center"/>
                </w:tcPr>
                <w:p w14:paraId="55B13183">
                  <w:pPr>
                    <w:pStyle w:val="51"/>
                    <w:rPr>
                      <w:color w:val="auto"/>
                    </w:rPr>
                  </w:pPr>
                  <w:r>
                    <w:rPr>
                      <w:color w:val="auto"/>
                    </w:rPr>
                    <w:t>A</w:t>
                  </w:r>
                </w:p>
              </w:tc>
              <w:tc>
                <w:tcPr>
                  <w:tcW w:w="454" w:type="pct"/>
                  <w:tcBorders>
                    <w:tl2br w:val="nil"/>
                    <w:tr2bl w:val="nil"/>
                  </w:tcBorders>
                  <w:shd w:val="clear" w:color="auto" w:fill="auto"/>
                  <w:vAlign w:val="center"/>
                </w:tcPr>
                <w:p w14:paraId="6AF39B19">
                  <w:pPr>
                    <w:pStyle w:val="51"/>
                    <w:rPr>
                      <w:color w:val="auto"/>
                    </w:rPr>
                  </w:pPr>
                  <w:r>
                    <w:rPr>
                      <w:color w:val="auto"/>
                    </w:rPr>
                    <w:t>&lt;2</w:t>
                  </w:r>
                </w:p>
              </w:tc>
              <w:tc>
                <w:tcPr>
                  <w:tcW w:w="454" w:type="pct"/>
                  <w:tcBorders>
                    <w:tl2br w:val="nil"/>
                    <w:tr2bl w:val="nil"/>
                  </w:tcBorders>
                  <w:shd w:val="clear" w:color="auto" w:fill="auto"/>
                  <w:vAlign w:val="center"/>
                </w:tcPr>
                <w:p w14:paraId="6134AA16">
                  <w:pPr>
                    <w:pStyle w:val="51"/>
                    <w:rPr>
                      <w:color w:val="auto"/>
                    </w:rPr>
                  </w:pPr>
                  <w:r>
                    <w:rPr>
                      <w:color w:val="auto"/>
                    </w:rPr>
                    <w:t>400</w:t>
                  </w:r>
                </w:p>
              </w:tc>
              <w:tc>
                <w:tcPr>
                  <w:tcW w:w="454" w:type="pct"/>
                  <w:tcBorders>
                    <w:tl2br w:val="nil"/>
                    <w:tr2bl w:val="nil"/>
                  </w:tcBorders>
                  <w:shd w:val="clear" w:color="auto" w:fill="auto"/>
                  <w:vAlign w:val="center"/>
                </w:tcPr>
                <w:p w14:paraId="0CE34C88">
                  <w:pPr>
                    <w:pStyle w:val="51"/>
                    <w:rPr>
                      <w:color w:val="auto"/>
                    </w:rPr>
                  </w:pPr>
                  <w:r>
                    <w:rPr>
                      <w:color w:val="auto"/>
                    </w:rPr>
                    <w:t>400</w:t>
                  </w:r>
                </w:p>
              </w:tc>
              <w:tc>
                <w:tcPr>
                  <w:tcW w:w="454" w:type="pct"/>
                  <w:tcBorders>
                    <w:tl2br w:val="nil"/>
                    <w:tr2bl w:val="nil"/>
                  </w:tcBorders>
                  <w:shd w:val="clear" w:color="auto" w:fill="auto"/>
                  <w:vAlign w:val="center"/>
                </w:tcPr>
                <w:p w14:paraId="5BEFD678">
                  <w:pPr>
                    <w:pStyle w:val="51"/>
                    <w:rPr>
                      <w:color w:val="auto"/>
                    </w:rPr>
                  </w:pPr>
                  <w:r>
                    <w:rPr>
                      <w:color w:val="auto"/>
                    </w:rPr>
                    <w:t>400</w:t>
                  </w:r>
                </w:p>
              </w:tc>
              <w:tc>
                <w:tcPr>
                  <w:tcW w:w="454" w:type="pct"/>
                  <w:tcBorders>
                    <w:tl2br w:val="nil"/>
                    <w:tr2bl w:val="nil"/>
                  </w:tcBorders>
                  <w:shd w:val="clear" w:color="auto" w:fill="auto"/>
                  <w:vAlign w:val="center"/>
                </w:tcPr>
                <w:p w14:paraId="3335608B">
                  <w:pPr>
                    <w:pStyle w:val="51"/>
                    <w:rPr>
                      <w:color w:val="auto"/>
                    </w:rPr>
                  </w:pPr>
                  <w:r>
                    <w:rPr>
                      <w:color w:val="auto"/>
                    </w:rPr>
                    <w:t>400</w:t>
                  </w:r>
                </w:p>
              </w:tc>
              <w:tc>
                <w:tcPr>
                  <w:tcW w:w="454" w:type="pct"/>
                  <w:tcBorders>
                    <w:tl2br w:val="nil"/>
                    <w:tr2bl w:val="nil"/>
                  </w:tcBorders>
                  <w:shd w:val="clear" w:color="auto" w:fill="auto"/>
                  <w:vAlign w:val="center"/>
                </w:tcPr>
                <w:p w14:paraId="2B385539">
                  <w:pPr>
                    <w:pStyle w:val="51"/>
                    <w:rPr>
                      <w:color w:val="auto"/>
                    </w:rPr>
                  </w:pPr>
                  <w:r>
                    <w:rPr>
                      <w:color w:val="auto"/>
                    </w:rPr>
                    <w:t>400</w:t>
                  </w:r>
                </w:p>
              </w:tc>
              <w:tc>
                <w:tcPr>
                  <w:tcW w:w="454" w:type="pct"/>
                  <w:tcBorders>
                    <w:tl2br w:val="nil"/>
                    <w:tr2bl w:val="nil"/>
                  </w:tcBorders>
                  <w:shd w:val="clear" w:color="auto" w:fill="auto"/>
                  <w:vAlign w:val="center"/>
                </w:tcPr>
                <w:p w14:paraId="0F844274">
                  <w:pPr>
                    <w:pStyle w:val="51"/>
                    <w:rPr>
                      <w:color w:val="auto"/>
                    </w:rPr>
                  </w:pPr>
                  <w:r>
                    <w:rPr>
                      <w:color w:val="auto"/>
                    </w:rPr>
                    <w:t>400</w:t>
                  </w:r>
                </w:p>
              </w:tc>
              <w:tc>
                <w:tcPr>
                  <w:tcW w:w="454" w:type="pct"/>
                  <w:tcBorders>
                    <w:tl2br w:val="nil"/>
                    <w:tr2bl w:val="nil"/>
                  </w:tcBorders>
                  <w:shd w:val="clear" w:color="auto" w:fill="auto"/>
                  <w:vAlign w:val="center"/>
                </w:tcPr>
                <w:p w14:paraId="54713484">
                  <w:pPr>
                    <w:pStyle w:val="51"/>
                    <w:rPr>
                      <w:color w:val="auto"/>
                    </w:rPr>
                  </w:pPr>
                  <w:r>
                    <w:rPr>
                      <w:color w:val="auto"/>
                    </w:rPr>
                    <w:t>80</w:t>
                  </w:r>
                </w:p>
              </w:tc>
              <w:tc>
                <w:tcPr>
                  <w:tcW w:w="454" w:type="pct"/>
                  <w:tcBorders>
                    <w:tl2br w:val="nil"/>
                    <w:tr2bl w:val="nil"/>
                  </w:tcBorders>
                  <w:shd w:val="clear" w:color="auto" w:fill="auto"/>
                  <w:vAlign w:val="center"/>
                </w:tcPr>
                <w:p w14:paraId="053DC4D3">
                  <w:pPr>
                    <w:pStyle w:val="51"/>
                    <w:rPr>
                      <w:color w:val="auto"/>
                    </w:rPr>
                  </w:pPr>
                  <w:r>
                    <w:rPr>
                      <w:color w:val="auto"/>
                    </w:rPr>
                    <w:t>80</w:t>
                  </w:r>
                </w:p>
              </w:tc>
              <w:tc>
                <w:tcPr>
                  <w:tcW w:w="458" w:type="pct"/>
                  <w:tcBorders>
                    <w:tl2br w:val="nil"/>
                    <w:tr2bl w:val="nil"/>
                  </w:tcBorders>
                  <w:shd w:val="clear" w:color="auto" w:fill="auto"/>
                  <w:vAlign w:val="center"/>
                </w:tcPr>
                <w:p w14:paraId="7CA47879">
                  <w:pPr>
                    <w:pStyle w:val="51"/>
                    <w:rPr>
                      <w:color w:val="auto"/>
                    </w:rPr>
                  </w:pPr>
                  <w:r>
                    <w:rPr>
                      <w:color w:val="auto"/>
                    </w:rPr>
                    <w:t>80</w:t>
                  </w:r>
                </w:p>
              </w:tc>
            </w:tr>
            <w:tr w14:paraId="2247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pct"/>
                  <w:vMerge w:val="continue"/>
                  <w:tcBorders>
                    <w:tl2br w:val="nil"/>
                    <w:tr2bl w:val="nil"/>
                  </w:tcBorders>
                  <w:shd w:val="clear" w:color="auto" w:fill="auto"/>
                  <w:vAlign w:val="center"/>
                </w:tcPr>
                <w:p w14:paraId="02ED0C10">
                  <w:pPr>
                    <w:rPr>
                      <w:color w:val="auto"/>
                    </w:rPr>
                  </w:pPr>
                </w:p>
              </w:tc>
              <w:tc>
                <w:tcPr>
                  <w:tcW w:w="454" w:type="pct"/>
                  <w:tcBorders>
                    <w:tl2br w:val="nil"/>
                    <w:tr2bl w:val="nil"/>
                  </w:tcBorders>
                  <w:shd w:val="clear" w:color="auto" w:fill="auto"/>
                  <w:vAlign w:val="center"/>
                </w:tcPr>
                <w:p w14:paraId="7BF25216">
                  <w:pPr>
                    <w:pStyle w:val="51"/>
                    <w:rPr>
                      <w:color w:val="auto"/>
                    </w:rPr>
                  </w:pPr>
                  <w:r>
                    <w:rPr>
                      <w:color w:val="auto"/>
                    </w:rPr>
                    <w:t>2~4</w:t>
                  </w:r>
                </w:p>
              </w:tc>
              <w:tc>
                <w:tcPr>
                  <w:tcW w:w="454" w:type="pct"/>
                  <w:tcBorders>
                    <w:tl2br w:val="nil"/>
                    <w:tr2bl w:val="nil"/>
                  </w:tcBorders>
                  <w:shd w:val="clear" w:color="auto" w:fill="auto"/>
                  <w:vAlign w:val="center"/>
                </w:tcPr>
                <w:p w14:paraId="609A03E5">
                  <w:pPr>
                    <w:pStyle w:val="51"/>
                    <w:rPr>
                      <w:color w:val="auto"/>
                    </w:rPr>
                  </w:pPr>
                  <w:r>
                    <w:rPr>
                      <w:color w:val="auto"/>
                    </w:rPr>
                    <w:t>700</w:t>
                  </w:r>
                </w:p>
              </w:tc>
              <w:tc>
                <w:tcPr>
                  <w:tcW w:w="454" w:type="pct"/>
                  <w:tcBorders>
                    <w:tl2br w:val="nil"/>
                    <w:tr2bl w:val="nil"/>
                  </w:tcBorders>
                  <w:shd w:val="clear" w:color="auto" w:fill="D7D7D7" w:themeFill="background1" w:themeFillShade="D8"/>
                  <w:vAlign w:val="center"/>
                </w:tcPr>
                <w:p w14:paraId="7AC0E221">
                  <w:pPr>
                    <w:pStyle w:val="51"/>
                    <w:rPr>
                      <w:color w:val="auto"/>
                    </w:rPr>
                  </w:pPr>
                  <w:r>
                    <w:rPr>
                      <w:color w:val="auto"/>
                    </w:rPr>
                    <w:t>470</w:t>
                  </w:r>
                </w:p>
              </w:tc>
              <w:tc>
                <w:tcPr>
                  <w:tcW w:w="454" w:type="pct"/>
                  <w:tcBorders>
                    <w:tl2br w:val="nil"/>
                    <w:tr2bl w:val="nil"/>
                  </w:tcBorders>
                  <w:shd w:val="clear" w:color="auto" w:fill="auto"/>
                  <w:vAlign w:val="center"/>
                </w:tcPr>
                <w:p w14:paraId="4EFB09BF">
                  <w:pPr>
                    <w:pStyle w:val="51"/>
                    <w:rPr>
                      <w:color w:val="auto"/>
                    </w:rPr>
                  </w:pPr>
                  <w:r>
                    <w:rPr>
                      <w:color w:val="auto"/>
                    </w:rPr>
                    <w:t>350</w:t>
                  </w:r>
                </w:p>
              </w:tc>
              <w:tc>
                <w:tcPr>
                  <w:tcW w:w="454" w:type="pct"/>
                  <w:tcBorders>
                    <w:tl2br w:val="nil"/>
                    <w:tr2bl w:val="nil"/>
                  </w:tcBorders>
                  <w:shd w:val="clear" w:color="auto" w:fill="auto"/>
                  <w:vAlign w:val="center"/>
                </w:tcPr>
                <w:p w14:paraId="11E48E3D">
                  <w:pPr>
                    <w:pStyle w:val="51"/>
                    <w:rPr>
                      <w:color w:val="auto"/>
                    </w:rPr>
                  </w:pPr>
                  <w:r>
                    <w:rPr>
                      <w:color w:val="auto"/>
                    </w:rPr>
                    <w:t>700</w:t>
                  </w:r>
                </w:p>
              </w:tc>
              <w:tc>
                <w:tcPr>
                  <w:tcW w:w="454" w:type="pct"/>
                  <w:tcBorders>
                    <w:tl2br w:val="nil"/>
                    <w:tr2bl w:val="nil"/>
                  </w:tcBorders>
                  <w:shd w:val="clear" w:color="auto" w:fill="auto"/>
                  <w:vAlign w:val="center"/>
                </w:tcPr>
                <w:p w14:paraId="1520C125">
                  <w:pPr>
                    <w:pStyle w:val="51"/>
                    <w:rPr>
                      <w:color w:val="auto"/>
                    </w:rPr>
                  </w:pPr>
                  <w:r>
                    <w:rPr>
                      <w:color w:val="auto"/>
                    </w:rPr>
                    <w:t>470</w:t>
                  </w:r>
                </w:p>
              </w:tc>
              <w:tc>
                <w:tcPr>
                  <w:tcW w:w="454" w:type="pct"/>
                  <w:tcBorders>
                    <w:tl2br w:val="nil"/>
                    <w:tr2bl w:val="nil"/>
                  </w:tcBorders>
                  <w:shd w:val="clear" w:color="auto" w:fill="auto"/>
                  <w:vAlign w:val="center"/>
                </w:tcPr>
                <w:p w14:paraId="6DE1BD1D">
                  <w:pPr>
                    <w:pStyle w:val="51"/>
                    <w:rPr>
                      <w:color w:val="auto"/>
                    </w:rPr>
                  </w:pPr>
                  <w:r>
                    <w:rPr>
                      <w:color w:val="auto"/>
                    </w:rPr>
                    <w:t>350</w:t>
                  </w:r>
                </w:p>
              </w:tc>
              <w:tc>
                <w:tcPr>
                  <w:tcW w:w="454" w:type="pct"/>
                  <w:tcBorders>
                    <w:tl2br w:val="nil"/>
                    <w:tr2bl w:val="nil"/>
                  </w:tcBorders>
                  <w:shd w:val="clear" w:color="auto" w:fill="auto"/>
                  <w:vAlign w:val="center"/>
                </w:tcPr>
                <w:p w14:paraId="292EC3DF">
                  <w:pPr>
                    <w:pStyle w:val="51"/>
                    <w:rPr>
                      <w:color w:val="auto"/>
                    </w:rPr>
                  </w:pPr>
                  <w:r>
                    <w:rPr>
                      <w:color w:val="auto"/>
                    </w:rPr>
                    <w:t>380</w:t>
                  </w:r>
                </w:p>
              </w:tc>
              <w:tc>
                <w:tcPr>
                  <w:tcW w:w="454" w:type="pct"/>
                  <w:tcBorders>
                    <w:tl2br w:val="nil"/>
                    <w:tr2bl w:val="nil"/>
                  </w:tcBorders>
                  <w:shd w:val="clear" w:color="auto" w:fill="auto"/>
                  <w:vAlign w:val="center"/>
                </w:tcPr>
                <w:p w14:paraId="4852A21D">
                  <w:pPr>
                    <w:pStyle w:val="51"/>
                    <w:rPr>
                      <w:color w:val="auto"/>
                    </w:rPr>
                  </w:pPr>
                  <w:r>
                    <w:rPr>
                      <w:color w:val="auto"/>
                    </w:rPr>
                    <w:t>250</w:t>
                  </w:r>
                </w:p>
              </w:tc>
              <w:tc>
                <w:tcPr>
                  <w:tcW w:w="458" w:type="pct"/>
                  <w:tcBorders>
                    <w:tl2br w:val="nil"/>
                    <w:tr2bl w:val="nil"/>
                  </w:tcBorders>
                  <w:shd w:val="clear" w:color="auto" w:fill="auto"/>
                  <w:vAlign w:val="center"/>
                </w:tcPr>
                <w:p w14:paraId="3BB996AD">
                  <w:pPr>
                    <w:pStyle w:val="51"/>
                    <w:rPr>
                      <w:color w:val="auto"/>
                    </w:rPr>
                  </w:pPr>
                  <w:r>
                    <w:rPr>
                      <w:color w:val="auto"/>
                    </w:rPr>
                    <w:t>190</w:t>
                  </w:r>
                </w:p>
              </w:tc>
            </w:tr>
            <w:tr w14:paraId="0022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54" w:type="pct"/>
                  <w:vMerge w:val="continue"/>
                  <w:tcBorders>
                    <w:tl2br w:val="nil"/>
                    <w:tr2bl w:val="nil"/>
                  </w:tcBorders>
                  <w:shd w:val="clear" w:color="auto" w:fill="auto"/>
                  <w:vAlign w:val="center"/>
                </w:tcPr>
                <w:p w14:paraId="3F8875A9">
                  <w:pPr>
                    <w:rPr>
                      <w:color w:val="auto"/>
                    </w:rPr>
                  </w:pPr>
                </w:p>
              </w:tc>
              <w:tc>
                <w:tcPr>
                  <w:tcW w:w="454" w:type="pct"/>
                  <w:tcBorders>
                    <w:tl2br w:val="nil"/>
                    <w:tr2bl w:val="nil"/>
                  </w:tcBorders>
                  <w:shd w:val="clear" w:color="auto" w:fill="auto"/>
                  <w:vAlign w:val="center"/>
                </w:tcPr>
                <w:p w14:paraId="5648B2BA">
                  <w:pPr>
                    <w:pStyle w:val="51"/>
                    <w:rPr>
                      <w:color w:val="auto"/>
                    </w:rPr>
                  </w:pPr>
                  <w:r>
                    <w:rPr>
                      <w:color w:val="auto"/>
                    </w:rPr>
                    <w:t>&gt;4</w:t>
                  </w:r>
                </w:p>
              </w:tc>
              <w:tc>
                <w:tcPr>
                  <w:tcW w:w="454" w:type="pct"/>
                  <w:tcBorders>
                    <w:tl2br w:val="nil"/>
                    <w:tr2bl w:val="nil"/>
                  </w:tcBorders>
                  <w:shd w:val="clear" w:color="auto" w:fill="auto"/>
                  <w:vAlign w:val="center"/>
                </w:tcPr>
                <w:p w14:paraId="1E2997CC">
                  <w:pPr>
                    <w:pStyle w:val="51"/>
                    <w:rPr>
                      <w:color w:val="auto"/>
                    </w:rPr>
                  </w:pPr>
                  <w:r>
                    <w:rPr>
                      <w:color w:val="auto"/>
                    </w:rPr>
                    <w:t>530</w:t>
                  </w:r>
                </w:p>
              </w:tc>
              <w:tc>
                <w:tcPr>
                  <w:tcW w:w="454" w:type="pct"/>
                  <w:tcBorders>
                    <w:tl2br w:val="nil"/>
                    <w:tr2bl w:val="nil"/>
                  </w:tcBorders>
                  <w:shd w:val="clear" w:color="auto" w:fill="auto"/>
                  <w:vAlign w:val="center"/>
                </w:tcPr>
                <w:p w14:paraId="3A6D41EF">
                  <w:pPr>
                    <w:pStyle w:val="51"/>
                    <w:rPr>
                      <w:color w:val="auto"/>
                    </w:rPr>
                  </w:pPr>
                  <w:r>
                    <w:rPr>
                      <w:color w:val="auto"/>
                    </w:rPr>
                    <w:t>350</w:t>
                  </w:r>
                </w:p>
              </w:tc>
              <w:tc>
                <w:tcPr>
                  <w:tcW w:w="454" w:type="pct"/>
                  <w:tcBorders>
                    <w:tl2br w:val="nil"/>
                    <w:tr2bl w:val="nil"/>
                  </w:tcBorders>
                  <w:shd w:val="clear" w:color="auto" w:fill="auto"/>
                  <w:vAlign w:val="center"/>
                </w:tcPr>
                <w:p w14:paraId="291693D1">
                  <w:pPr>
                    <w:pStyle w:val="51"/>
                    <w:rPr>
                      <w:color w:val="auto"/>
                    </w:rPr>
                  </w:pPr>
                  <w:r>
                    <w:rPr>
                      <w:color w:val="auto"/>
                    </w:rPr>
                    <w:t>260</w:t>
                  </w:r>
                </w:p>
              </w:tc>
              <w:tc>
                <w:tcPr>
                  <w:tcW w:w="454" w:type="pct"/>
                  <w:tcBorders>
                    <w:tl2br w:val="nil"/>
                    <w:tr2bl w:val="nil"/>
                  </w:tcBorders>
                  <w:shd w:val="clear" w:color="auto" w:fill="auto"/>
                  <w:vAlign w:val="center"/>
                </w:tcPr>
                <w:p w14:paraId="577B664E">
                  <w:pPr>
                    <w:pStyle w:val="51"/>
                    <w:rPr>
                      <w:color w:val="auto"/>
                    </w:rPr>
                  </w:pPr>
                  <w:r>
                    <w:rPr>
                      <w:color w:val="auto"/>
                    </w:rPr>
                    <w:t>530</w:t>
                  </w:r>
                </w:p>
              </w:tc>
              <w:tc>
                <w:tcPr>
                  <w:tcW w:w="454" w:type="pct"/>
                  <w:tcBorders>
                    <w:tl2br w:val="nil"/>
                    <w:tr2bl w:val="nil"/>
                  </w:tcBorders>
                  <w:shd w:val="clear" w:color="auto" w:fill="auto"/>
                  <w:vAlign w:val="center"/>
                </w:tcPr>
                <w:p w14:paraId="5D4F7701">
                  <w:pPr>
                    <w:pStyle w:val="51"/>
                    <w:rPr>
                      <w:color w:val="auto"/>
                    </w:rPr>
                  </w:pPr>
                  <w:r>
                    <w:rPr>
                      <w:color w:val="auto"/>
                    </w:rPr>
                    <w:t>350</w:t>
                  </w:r>
                </w:p>
              </w:tc>
              <w:tc>
                <w:tcPr>
                  <w:tcW w:w="454" w:type="pct"/>
                  <w:tcBorders>
                    <w:tl2br w:val="nil"/>
                    <w:tr2bl w:val="nil"/>
                  </w:tcBorders>
                  <w:shd w:val="clear" w:color="auto" w:fill="auto"/>
                  <w:vAlign w:val="center"/>
                </w:tcPr>
                <w:p w14:paraId="047CF467">
                  <w:pPr>
                    <w:pStyle w:val="51"/>
                    <w:rPr>
                      <w:color w:val="auto"/>
                    </w:rPr>
                  </w:pPr>
                  <w:r>
                    <w:rPr>
                      <w:color w:val="auto"/>
                    </w:rPr>
                    <w:t>260</w:t>
                  </w:r>
                </w:p>
              </w:tc>
              <w:tc>
                <w:tcPr>
                  <w:tcW w:w="454" w:type="pct"/>
                  <w:tcBorders>
                    <w:tl2br w:val="nil"/>
                    <w:tr2bl w:val="nil"/>
                  </w:tcBorders>
                  <w:shd w:val="clear" w:color="auto" w:fill="auto"/>
                  <w:vAlign w:val="center"/>
                </w:tcPr>
                <w:p w14:paraId="3031B56C">
                  <w:pPr>
                    <w:pStyle w:val="51"/>
                    <w:rPr>
                      <w:color w:val="auto"/>
                    </w:rPr>
                  </w:pPr>
                  <w:r>
                    <w:rPr>
                      <w:color w:val="auto"/>
                    </w:rPr>
                    <w:t>290</w:t>
                  </w:r>
                </w:p>
              </w:tc>
              <w:tc>
                <w:tcPr>
                  <w:tcW w:w="454" w:type="pct"/>
                  <w:tcBorders>
                    <w:tl2br w:val="nil"/>
                    <w:tr2bl w:val="nil"/>
                  </w:tcBorders>
                  <w:shd w:val="clear" w:color="auto" w:fill="auto"/>
                  <w:vAlign w:val="center"/>
                </w:tcPr>
                <w:p w14:paraId="03801FE1">
                  <w:pPr>
                    <w:pStyle w:val="51"/>
                    <w:rPr>
                      <w:color w:val="auto"/>
                    </w:rPr>
                  </w:pPr>
                  <w:r>
                    <w:rPr>
                      <w:color w:val="auto"/>
                    </w:rPr>
                    <w:t>190</w:t>
                  </w:r>
                </w:p>
              </w:tc>
              <w:tc>
                <w:tcPr>
                  <w:tcW w:w="458" w:type="pct"/>
                  <w:tcBorders>
                    <w:tl2br w:val="nil"/>
                    <w:tr2bl w:val="nil"/>
                  </w:tcBorders>
                  <w:shd w:val="clear" w:color="auto" w:fill="auto"/>
                  <w:vAlign w:val="center"/>
                </w:tcPr>
                <w:p w14:paraId="029DF918">
                  <w:pPr>
                    <w:pStyle w:val="51"/>
                    <w:rPr>
                      <w:color w:val="auto"/>
                    </w:rPr>
                  </w:pPr>
                  <w:r>
                    <w:rPr>
                      <w:color w:val="auto"/>
                    </w:rPr>
                    <w:t>140</w:t>
                  </w:r>
                </w:p>
              </w:tc>
            </w:tr>
            <w:tr w14:paraId="06A5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54" w:type="pct"/>
                  <w:vMerge w:val="restart"/>
                  <w:tcBorders>
                    <w:tl2br w:val="nil"/>
                    <w:tr2bl w:val="nil"/>
                  </w:tcBorders>
                  <w:shd w:val="clear" w:color="auto" w:fill="auto"/>
                  <w:vAlign w:val="center"/>
                </w:tcPr>
                <w:p w14:paraId="63C3202E">
                  <w:pPr>
                    <w:pStyle w:val="51"/>
                    <w:rPr>
                      <w:color w:val="auto"/>
                    </w:rPr>
                  </w:pPr>
                  <w:r>
                    <w:rPr>
                      <w:color w:val="auto"/>
                    </w:rPr>
                    <w:t>B</w:t>
                  </w:r>
                </w:p>
              </w:tc>
              <w:tc>
                <w:tcPr>
                  <w:tcW w:w="454" w:type="pct"/>
                  <w:tcBorders>
                    <w:tl2br w:val="nil"/>
                    <w:tr2bl w:val="nil"/>
                  </w:tcBorders>
                  <w:shd w:val="clear" w:color="auto" w:fill="auto"/>
                  <w:vAlign w:val="center"/>
                </w:tcPr>
                <w:p w14:paraId="1D70F602">
                  <w:pPr>
                    <w:pStyle w:val="51"/>
                    <w:rPr>
                      <w:color w:val="auto"/>
                    </w:rPr>
                  </w:pPr>
                  <w:r>
                    <w:rPr>
                      <w:color w:val="auto"/>
                    </w:rPr>
                    <w:t>&lt;2</w:t>
                  </w:r>
                </w:p>
              </w:tc>
              <w:tc>
                <w:tcPr>
                  <w:tcW w:w="1362" w:type="pct"/>
                  <w:gridSpan w:val="3"/>
                  <w:tcBorders>
                    <w:tl2br w:val="nil"/>
                    <w:tr2bl w:val="nil"/>
                  </w:tcBorders>
                  <w:shd w:val="clear" w:color="auto" w:fill="auto"/>
                  <w:vAlign w:val="center"/>
                </w:tcPr>
                <w:p w14:paraId="2A812CC3">
                  <w:pPr>
                    <w:pStyle w:val="51"/>
                    <w:rPr>
                      <w:color w:val="auto"/>
                    </w:rPr>
                  </w:pPr>
                  <w:r>
                    <w:rPr>
                      <w:color w:val="auto"/>
                    </w:rPr>
                    <w:t>0.01</w:t>
                  </w:r>
                </w:p>
              </w:tc>
              <w:tc>
                <w:tcPr>
                  <w:tcW w:w="1362" w:type="pct"/>
                  <w:gridSpan w:val="3"/>
                  <w:tcBorders>
                    <w:tl2br w:val="nil"/>
                    <w:tr2bl w:val="nil"/>
                  </w:tcBorders>
                  <w:shd w:val="clear" w:color="auto" w:fill="auto"/>
                  <w:vAlign w:val="center"/>
                </w:tcPr>
                <w:p w14:paraId="0E9BA821">
                  <w:pPr>
                    <w:pStyle w:val="51"/>
                    <w:rPr>
                      <w:color w:val="auto"/>
                    </w:rPr>
                  </w:pPr>
                  <w:r>
                    <w:rPr>
                      <w:color w:val="auto"/>
                    </w:rPr>
                    <w:t>0.015</w:t>
                  </w:r>
                </w:p>
              </w:tc>
              <w:tc>
                <w:tcPr>
                  <w:tcW w:w="1366" w:type="pct"/>
                  <w:gridSpan w:val="3"/>
                  <w:tcBorders>
                    <w:tl2br w:val="nil"/>
                    <w:tr2bl w:val="nil"/>
                  </w:tcBorders>
                  <w:shd w:val="clear" w:color="auto" w:fill="auto"/>
                  <w:vAlign w:val="center"/>
                </w:tcPr>
                <w:p w14:paraId="14F53D6B">
                  <w:pPr>
                    <w:pStyle w:val="51"/>
                    <w:rPr>
                      <w:color w:val="auto"/>
                    </w:rPr>
                  </w:pPr>
                  <w:r>
                    <w:rPr>
                      <w:color w:val="auto"/>
                    </w:rPr>
                    <w:t>0.015</w:t>
                  </w:r>
                </w:p>
              </w:tc>
            </w:tr>
            <w:tr w14:paraId="6325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54" w:type="pct"/>
                  <w:vMerge w:val="continue"/>
                  <w:tcBorders>
                    <w:tl2br w:val="nil"/>
                    <w:tr2bl w:val="nil"/>
                  </w:tcBorders>
                  <w:shd w:val="clear" w:color="auto" w:fill="auto"/>
                  <w:vAlign w:val="center"/>
                </w:tcPr>
                <w:p w14:paraId="5C2B0922">
                  <w:pPr>
                    <w:rPr>
                      <w:color w:val="auto"/>
                    </w:rPr>
                  </w:pPr>
                </w:p>
              </w:tc>
              <w:tc>
                <w:tcPr>
                  <w:tcW w:w="454" w:type="pct"/>
                  <w:tcBorders>
                    <w:tl2br w:val="nil"/>
                    <w:tr2bl w:val="nil"/>
                  </w:tcBorders>
                  <w:shd w:val="clear" w:color="auto" w:fill="auto"/>
                  <w:vAlign w:val="center"/>
                </w:tcPr>
                <w:p w14:paraId="679DB00A">
                  <w:pPr>
                    <w:pStyle w:val="51"/>
                    <w:rPr>
                      <w:color w:val="auto"/>
                    </w:rPr>
                  </w:pPr>
                  <w:r>
                    <w:rPr>
                      <w:color w:val="auto"/>
                    </w:rPr>
                    <w:t>&gt;2</w:t>
                  </w:r>
                </w:p>
              </w:tc>
              <w:tc>
                <w:tcPr>
                  <w:tcW w:w="1362" w:type="pct"/>
                  <w:gridSpan w:val="3"/>
                  <w:tcBorders>
                    <w:tl2br w:val="nil"/>
                    <w:tr2bl w:val="nil"/>
                  </w:tcBorders>
                  <w:shd w:val="clear" w:color="auto" w:fill="D7D7D7" w:themeFill="background1" w:themeFillShade="D8"/>
                  <w:vAlign w:val="center"/>
                </w:tcPr>
                <w:p w14:paraId="0F8C778C">
                  <w:pPr>
                    <w:pStyle w:val="51"/>
                    <w:rPr>
                      <w:color w:val="auto"/>
                    </w:rPr>
                  </w:pPr>
                  <w:r>
                    <w:rPr>
                      <w:color w:val="auto"/>
                    </w:rPr>
                    <w:t>0.021</w:t>
                  </w:r>
                </w:p>
              </w:tc>
              <w:tc>
                <w:tcPr>
                  <w:tcW w:w="1362" w:type="pct"/>
                  <w:gridSpan w:val="3"/>
                  <w:tcBorders>
                    <w:tl2br w:val="nil"/>
                    <w:tr2bl w:val="nil"/>
                  </w:tcBorders>
                  <w:shd w:val="clear" w:color="auto" w:fill="auto"/>
                  <w:vAlign w:val="center"/>
                </w:tcPr>
                <w:p w14:paraId="551762CF">
                  <w:pPr>
                    <w:pStyle w:val="51"/>
                    <w:rPr>
                      <w:color w:val="auto"/>
                    </w:rPr>
                  </w:pPr>
                  <w:r>
                    <w:rPr>
                      <w:color w:val="auto"/>
                    </w:rPr>
                    <w:t>0.036</w:t>
                  </w:r>
                </w:p>
              </w:tc>
              <w:tc>
                <w:tcPr>
                  <w:tcW w:w="1366" w:type="pct"/>
                  <w:gridSpan w:val="3"/>
                  <w:tcBorders>
                    <w:tl2br w:val="nil"/>
                    <w:tr2bl w:val="nil"/>
                  </w:tcBorders>
                  <w:shd w:val="clear" w:color="auto" w:fill="auto"/>
                  <w:vAlign w:val="center"/>
                </w:tcPr>
                <w:p w14:paraId="5E27D444">
                  <w:pPr>
                    <w:pStyle w:val="51"/>
                    <w:rPr>
                      <w:color w:val="auto"/>
                    </w:rPr>
                  </w:pPr>
                  <w:r>
                    <w:rPr>
                      <w:color w:val="auto"/>
                    </w:rPr>
                    <w:t>0.036</w:t>
                  </w:r>
                </w:p>
              </w:tc>
            </w:tr>
            <w:tr w14:paraId="3B33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54" w:type="pct"/>
                  <w:vMerge w:val="restart"/>
                  <w:tcBorders>
                    <w:tl2br w:val="nil"/>
                    <w:tr2bl w:val="nil"/>
                  </w:tcBorders>
                  <w:shd w:val="clear" w:color="auto" w:fill="auto"/>
                  <w:vAlign w:val="center"/>
                </w:tcPr>
                <w:p w14:paraId="19511DAB">
                  <w:pPr>
                    <w:pStyle w:val="51"/>
                    <w:rPr>
                      <w:color w:val="auto"/>
                    </w:rPr>
                  </w:pPr>
                  <w:r>
                    <w:rPr>
                      <w:color w:val="auto"/>
                    </w:rPr>
                    <w:t>C</w:t>
                  </w:r>
                </w:p>
              </w:tc>
              <w:tc>
                <w:tcPr>
                  <w:tcW w:w="454" w:type="pct"/>
                  <w:tcBorders>
                    <w:tl2br w:val="nil"/>
                    <w:tr2bl w:val="nil"/>
                  </w:tcBorders>
                  <w:shd w:val="clear" w:color="auto" w:fill="auto"/>
                  <w:vAlign w:val="center"/>
                </w:tcPr>
                <w:p w14:paraId="39AD0BE8">
                  <w:pPr>
                    <w:pStyle w:val="51"/>
                    <w:rPr>
                      <w:color w:val="auto"/>
                    </w:rPr>
                  </w:pPr>
                  <w:r>
                    <w:rPr>
                      <w:color w:val="auto"/>
                    </w:rPr>
                    <w:t>&lt;2</w:t>
                  </w:r>
                </w:p>
              </w:tc>
              <w:tc>
                <w:tcPr>
                  <w:tcW w:w="1362" w:type="pct"/>
                  <w:gridSpan w:val="3"/>
                  <w:tcBorders>
                    <w:tl2br w:val="nil"/>
                    <w:tr2bl w:val="nil"/>
                  </w:tcBorders>
                  <w:shd w:val="clear" w:color="auto" w:fill="auto"/>
                  <w:vAlign w:val="center"/>
                </w:tcPr>
                <w:p w14:paraId="67758C8D">
                  <w:pPr>
                    <w:pStyle w:val="51"/>
                    <w:rPr>
                      <w:color w:val="auto"/>
                    </w:rPr>
                  </w:pPr>
                  <w:r>
                    <w:rPr>
                      <w:color w:val="auto"/>
                    </w:rPr>
                    <w:t>1.85</w:t>
                  </w:r>
                </w:p>
              </w:tc>
              <w:tc>
                <w:tcPr>
                  <w:tcW w:w="1362" w:type="pct"/>
                  <w:gridSpan w:val="3"/>
                  <w:tcBorders>
                    <w:tl2br w:val="nil"/>
                    <w:tr2bl w:val="nil"/>
                  </w:tcBorders>
                  <w:shd w:val="clear" w:color="auto" w:fill="auto"/>
                  <w:vAlign w:val="center"/>
                </w:tcPr>
                <w:p w14:paraId="3E83F852">
                  <w:pPr>
                    <w:pStyle w:val="51"/>
                    <w:rPr>
                      <w:color w:val="auto"/>
                    </w:rPr>
                  </w:pPr>
                  <w:r>
                    <w:rPr>
                      <w:color w:val="auto"/>
                    </w:rPr>
                    <w:t>1.79</w:t>
                  </w:r>
                </w:p>
              </w:tc>
              <w:tc>
                <w:tcPr>
                  <w:tcW w:w="1366" w:type="pct"/>
                  <w:gridSpan w:val="3"/>
                  <w:tcBorders>
                    <w:tl2br w:val="nil"/>
                    <w:tr2bl w:val="nil"/>
                  </w:tcBorders>
                  <w:shd w:val="clear" w:color="auto" w:fill="auto"/>
                  <w:vAlign w:val="center"/>
                </w:tcPr>
                <w:p w14:paraId="3D85188C">
                  <w:pPr>
                    <w:pStyle w:val="51"/>
                    <w:rPr>
                      <w:color w:val="auto"/>
                    </w:rPr>
                  </w:pPr>
                  <w:r>
                    <w:rPr>
                      <w:color w:val="auto"/>
                    </w:rPr>
                    <w:t>1.79</w:t>
                  </w:r>
                </w:p>
              </w:tc>
            </w:tr>
            <w:tr w14:paraId="6499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pct"/>
                  <w:vMerge w:val="continue"/>
                  <w:tcBorders>
                    <w:tl2br w:val="nil"/>
                    <w:tr2bl w:val="nil"/>
                  </w:tcBorders>
                  <w:shd w:val="clear" w:color="auto" w:fill="auto"/>
                  <w:vAlign w:val="center"/>
                </w:tcPr>
                <w:p w14:paraId="46464BF7">
                  <w:pPr>
                    <w:rPr>
                      <w:color w:val="auto"/>
                    </w:rPr>
                  </w:pPr>
                </w:p>
              </w:tc>
              <w:tc>
                <w:tcPr>
                  <w:tcW w:w="454" w:type="pct"/>
                  <w:tcBorders>
                    <w:tl2br w:val="nil"/>
                    <w:tr2bl w:val="nil"/>
                  </w:tcBorders>
                  <w:shd w:val="clear" w:color="auto" w:fill="auto"/>
                  <w:vAlign w:val="center"/>
                </w:tcPr>
                <w:p w14:paraId="55934C79">
                  <w:pPr>
                    <w:pStyle w:val="51"/>
                    <w:rPr>
                      <w:color w:val="auto"/>
                    </w:rPr>
                  </w:pPr>
                  <w:r>
                    <w:rPr>
                      <w:color w:val="auto"/>
                    </w:rPr>
                    <w:t>&gt;2</w:t>
                  </w:r>
                </w:p>
              </w:tc>
              <w:tc>
                <w:tcPr>
                  <w:tcW w:w="1362" w:type="pct"/>
                  <w:gridSpan w:val="3"/>
                  <w:tcBorders>
                    <w:tl2br w:val="nil"/>
                    <w:tr2bl w:val="nil"/>
                  </w:tcBorders>
                  <w:shd w:val="clear" w:color="auto" w:fill="D7D7D7" w:themeFill="background1" w:themeFillShade="D8"/>
                  <w:vAlign w:val="center"/>
                </w:tcPr>
                <w:p w14:paraId="61DF84E3">
                  <w:pPr>
                    <w:pStyle w:val="51"/>
                    <w:rPr>
                      <w:color w:val="auto"/>
                    </w:rPr>
                  </w:pPr>
                  <w:r>
                    <w:rPr>
                      <w:color w:val="auto"/>
                    </w:rPr>
                    <w:t>1.85</w:t>
                  </w:r>
                </w:p>
              </w:tc>
              <w:tc>
                <w:tcPr>
                  <w:tcW w:w="1362" w:type="pct"/>
                  <w:gridSpan w:val="3"/>
                  <w:tcBorders>
                    <w:tl2br w:val="nil"/>
                    <w:tr2bl w:val="nil"/>
                  </w:tcBorders>
                  <w:shd w:val="clear" w:color="auto" w:fill="auto"/>
                  <w:vAlign w:val="center"/>
                </w:tcPr>
                <w:p w14:paraId="011AAE38">
                  <w:pPr>
                    <w:pStyle w:val="51"/>
                    <w:rPr>
                      <w:color w:val="auto"/>
                    </w:rPr>
                  </w:pPr>
                  <w:r>
                    <w:rPr>
                      <w:color w:val="auto"/>
                    </w:rPr>
                    <w:t>1.77</w:t>
                  </w:r>
                </w:p>
              </w:tc>
              <w:tc>
                <w:tcPr>
                  <w:tcW w:w="1366" w:type="pct"/>
                  <w:gridSpan w:val="3"/>
                  <w:tcBorders>
                    <w:tl2br w:val="nil"/>
                    <w:tr2bl w:val="nil"/>
                  </w:tcBorders>
                  <w:shd w:val="clear" w:color="auto" w:fill="auto"/>
                  <w:vAlign w:val="center"/>
                </w:tcPr>
                <w:p w14:paraId="3322D3E1">
                  <w:pPr>
                    <w:pStyle w:val="51"/>
                    <w:rPr>
                      <w:color w:val="auto"/>
                    </w:rPr>
                  </w:pPr>
                  <w:r>
                    <w:rPr>
                      <w:color w:val="auto"/>
                    </w:rPr>
                    <w:t>1.77</w:t>
                  </w:r>
                </w:p>
              </w:tc>
            </w:tr>
            <w:tr w14:paraId="6D64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54" w:type="pct"/>
                  <w:vMerge w:val="restart"/>
                  <w:tcBorders>
                    <w:tl2br w:val="nil"/>
                    <w:tr2bl w:val="nil"/>
                  </w:tcBorders>
                  <w:shd w:val="clear" w:color="auto" w:fill="auto"/>
                  <w:vAlign w:val="center"/>
                </w:tcPr>
                <w:p w14:paraId="7209854A">
                  <w:pPr>
                    <w:pStyle w:val="51"/>
                    <w:rPr>
                      <w:color w:val="auto"/>
                    </w:rPr>
                  </w:pPr>
                  <w:r>
                    <w:rPr>
                      <w:color w:val="auto"/>
                    </w:rPr>
                    <w:t>D</w:t>
                  </w:r>
                </w:p>
              </w:tc>
              <w:tc>
                <w:tcPr>
                  <w:tcW w:w="454" w:type="pct"/>
                  <w:tcBorders>
                    <w:tl2br w:val="nil"/>
                    <w:tr2bl w:val="nil"/>
                  </w:tcBorders>
                  <w:shd w:val="clear" w:color="auto" w:fill="auto"/>
                  <w:vAlign w:val="center"/>
                </w:tcPr>
                <w:p w14:paraId="6FA452C0">
                  <w:pPr>
                    <w:pStyle w:val="51"/>
                    <w:rPr>
                      <w:color w:val="auto"/>
                    </w:rPr>
                  </w:pPr>
                  <w:r>
                    <w:rPr>
                      <w:color w:val="auto"/>
                    </w:rPr>
                    <w:t>&lt;2</w:t>
                  </w:r>
                </w:p>
              </w:tc>
              <w:tc>
                <w:tcPr>
                  <w:tcW w:w="1362" w:type="pct"/>
                  <w:gridSpan w:val="3"/>
                  <w:tcBorders>
                    <w:tl2br w:val="nil"/>
                    <w:tr2bl w:val="nil"/>
                  </w:tcBorders>
                  <w:shd w:val="clear" w:color="auto" w:fill="auto"/>
                  <w:vAlign w:val="center"/>
                </w:tcPr>
                <w:p w14:paraId="353CD39C">
                  <w:pPr>
                    <w:pStyle w:val="51"/>
                    <w:rPr>
                      <w:color w:val="auto"/>
                    </w:rPr>
                  </w:pPr>
                  <w:r>
                    <w:rPr>
                      <w:color w:val="auto"/>
                    </w:rPr>
                    <w:t>0.78</w:t>
                  </w:r>
                </w:p>
              </w:tc>
              <w:tc>
                <w:tcPr>
                  <w:tcW w:w="1362" w:type="pct"/>
                  <w:gridSpan w:val="3"/>
                  <w:tcBorders>
                    <w:tl2br w:val="nil"/>
                    <w:tr2bl w:val="nil"/>
                  </w:tcBorders>
                  <w:shd w:val="clear" w:color="auto" w:fill="auto"/>
                  <w:vAlign w:val="center"/>
                </w:tcPr>
                <w:p w14:paraId="298FF410">
                  <w:pPr>
                    <w:pStyle w:val="51"/>
                    <w:rPr>
                      <w:color w:val="auto"/>
                    </w:rPr>
                  </w:pPr>
                  <w:r>
                    <w:rPr>
                      <w:color w:val="auto"/>
                    </w:rPr>
                    <w:t>0.78</w:t>
                  </w:r>
                </w:p>
              </w:tc>
              <w:tc>
                <w:tcPr>
                  <w:tcW w:w="1366" w:type="pct"/>
                  <w:gridSpan w:val="3"/>
                  <w:tcBorders>
                    <w:tl2br w:val="nil"/>
                    <w:tr2bl w:val="nil"/>
                  </w:tcBorders>
                  <w:shd w:val="clear" w:color="auto" w:fill="auto"/>
                  <w:vAlign w:val="center"/>
                </w:tcPr>
                <w:p w14:paraId="3F7F43F7">
                  <w:pPr>
                    <w:pStyle w:val="51"/>
                    <w:rPr>
                      <w:color w:val="auto"/>
                    </w:rPr>
                  </w:pPr>
                  <w:r>
                    <w:rPr>
                      <w:color w:val="auto"/>
                    </w:rPr>
                    <w:t>0.57</w:t>
                  </w:r>
                </w:p>
              </w:tc>
            </w:tr>
            <w:tr w14:paraId="5E77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54" w:type="pct"/>
                  <w:vMerge w:val="continue"/>
                  <w:tcBorders>
                    <w:tl2br w:val="nil"/>
                    <w:tr2bl w:val="nil"/>
                  </w:tcBorders>
                  <w:shd w:val="clear" w:color="auto" w:fill="auto"/>
                  <w:vAlign w:val="center"/>
                </w:tcPr>
                <w:p w14:paraId="5FD1F343">
                  <w:pPr>
                    <w:rPr>
                      <w:color w:val="auto"/>
                    </w:rPr>
                  </w:pPr>
                </w:p>
              </w:tc>
              <w:tc>
                <w:tcPr>
                  <w:tcW w:w="454" w:type="pct"/>
                  <w:tcBorders>
                    <w:tl2br w:val="nil"/>
                    <w:tr2bl w:val="nil"/>
                  </w:tcBorders>
                  <w:shd w:val="clear" w:color="auto" w:fill="auto"/>
                  <w:vAlign w:val="center"/>
                </w:tcPr>
                <w:p w14:paraId="08CB09CA">
                  <w:pPr>
                    <w:pStyle w:val="51"/>
                    <w:rPr>
                      <w:color w:val="auto"/>
                    </w:rPr>
                  </w:pPr>
                  <w:r>
                    <w:rPr>
                      <w:color w:val="auto"/>
                    </w:rPr>
                    <w:t>&gt;2</w:t>
                  </w:r>
                </w:p>
              </w:tc>
              <w:tc>
                <w:tcPr>
                  <w:tcW w:w="1362" w:type="pct"/>
                  <w:gridSpan w:val="3"/>
                  <w:tcBorders>
                    <w:tl2br w:val="nil"/>
                    <w:tr2bl w:val="nil"/>
                  </w:tcBorders>
                  <w:shd w:val="clear" w:color="auto" w:fill="D7D7D7" w:themeFill="background1" w:themeFillShade="D8"/>
                  <w:vAlign w:val="center"/>
                </w:tcPr>
                <w:p w14:paraId="0E8617DD">
                  <w:pPr>
                    <w:pStyle w:val="51"/>
                    <w:rPr>
                      <w:color w:val="auto"/>
                    </w:rPr>
                  </w:pPr>
                  <w:r>
                    <w:rPr>
                      <w:color w:val="auto"/>
                    </w:rPr>
                    <w:t>0.84</w:t>
                  </w:r>
                </w:p>
              </w:tc>
              <w:tc>
                <w:tcPr>
                  <w:tcW w:w="1362" w:type="pct"/>
                  <w:gridSpan w:val="3"/>
                  <w:tcBorders>
                    <w:tl2br w:val="nil"/>
                    <w:tr2bl w:val="nil"/>
                  </w:tcBorders>
                  <w:shd w:val="clear" w:color="auto" w:fill="auto"/>
                  <w:vAlign w:val="center"/>
                </w:tcPr>
                <w:p w14:paraId="691A8222">
                  <w:pPr>
                    <w:pStyle w:val="51"/>
                    <w:rPr>
                      <w:color w:val="auto"/>
                    </w:rPr>
                  </w:pPr>
                  <w:r>
                    <w:rPr>
                      <w:color w:val="auto"/>
                    </w:rPr>
                    <w:t>0.84</w:t>
                  </w:r>
                </w:p>
              </w:tc>
              <w:tc>
                <w:tcPr>
                  <w:tcW w:w="1366" w:type="pct"/>
                  <w:gridSpan w:val="3"/>
                  <w:tcBorders>
                    <w:tl2br w:val="nil"/>
                    <w:tr2bl w:val="nil"/>
                  </w:tcBorders>
                  <w:shd w:val="clear" w:color="auto" w:fill="auto"/>
                  <w:vAlign w:val="center"/>
                </w:tcPr>
                <w:p w14:paraId="025375CF">
                  <w:pPr>
                    <w:pStyle w:val="51"/>
                    <w:rPr>
                      <w:color w:val="auto"/>
                    </w:rPr>
                  </w:pPr>
                  <w:r>
                    <w:rPr>
                      <w:color w:val="auto"/>
                    </w:rPr>
                    <w:t>0.76</w:t>
                  </w:r>
                </w:p>
              </w:tc>
            </w:tr>
          </w:tbl>
          <w:p w14:paraId="4125FCF1">
            <w:pPr>
              <w:pStyle w:val="47"/>
              <w:ind w:firstLine="480"/>
              <w:rPr>
                <w:color w:val="auto"/>
              </w:rPr>
            </w:pPr>
            <w:r>
              <w:rPr>
                <w:color w:val="auto"/>
              </w:rPr>
              <w:t>本项目无组织废气仅有</w:t>
            </w:r>
            <w:r>
              <w:rPr>
                <w:rFonts w:hint="eastAsia"/>
                <w:color w:val="auto"/>
              </w:rPr>
              <w:t>非甲烷总烃</w:t>
            </w:r>
            <w:r>
              <w:rPr>
                <w:color w:val="auto"/>
              </w:rPr>
              <w:t>，因此，本项目按</w:t>
            </w:r>
            <w:r>
              <w:rPr>
                <w:rFonts w:hint="eastAsia"/>
                <w:color w:val="auto"/>
              </w:rPr>
              <w:t>非甲烷总烃</w:t>
            </w:r>
            <w:r>
              <w:rPr>
                <w:color w:val="auto"/>
              </w:rPr>
              <w:t>的等标排放量（Q</w:t>
            </w:r>
            <w:r>
              <w:rPr>
                <w:color w:val="auto"/>
                <w:vertAlign w:val="subscript"/>
              </w:rPr>
              <w:t>C</w:t>
            </w:r>
            <w:r>
              <w:rPr>
                <w:color w:val="auto"/>
              </w:rPr>
              <w:t>/C</w:t>
            </w:r>
            <w:r>
              <w:rPr>
                <w:color w:val="auto"/>
                <w:vertAlign w:val="subscript"/>
              </w:rPr>
              <w:t>m</w:t>
            </w:r>
            <w:r>
              <w:rPr>
                <w:color w:val="auto"/>
              </w:rPr>
              <w:t>）计算所需的卫生防护距离。卫生防护距离计算见</w:t>
            </w:r>
            <w:r>
              <w:rPr>
                <w:color w:val="auto"/>
              </w:rPr>
              <w:fldChar w:fldCharType="begin"/>
            </w:r>
            <w:r>
              <w:rPr>
                <w:color w:val="auto"/>
              </w:rPr>
              <w:instrText xml:space="preserve"> REF _Ref1442 \h </w:instrText>
            </w:r>
            <w:r>
              <w:rPr>
                <w:color w:val="auto"/>
              </w:rPr>
              <w:fldChar w:fldCharType="separate"/>
            </w:r>
            <w:r>
              <w:rPr>
                <w:color w:val="auto"/>
              </w:rPr>
              <w:t>表4- 7</w:t>
            </w:r>
            <w:r>
              <w:rPr>
                <w:color w:val="auto"/>
              </w:rPr>
              <w:fldChar w:fldCharType="end"/>
            </w:r>
            <w:r>
              <w:rPr>
                <w:color w:val="auto"/>
              </w:rPr>
              <w:t>。</w:t>
            </w:r>
          </w:p>
          <w:p w14:paraId="539A90B1">
            <w:pPr>
              <w:pStyle w:val="7"/>
              <w:rPr>
                <w:color w:val="auto"/>
              </w:rPr>
            </w:pPr>
            <w:bookmarkStart w:id="56" w:name="_Ref1442"/>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7</w:t>
            </w:r>
            <w:r>
              <w:rPr>
                <w:color w:val="auto"/>
              </w:rPr>
              <w:fldChar w:fldCharType="end"/>
            </w:r>
            <w:bookmarkEnd w:id="56"/>
            <w:r>
              <w:rPr>
                <w:color w:val="auto"/>
              </w:rPr>
              <w:t xml:space="preserve"> 卫生防护距离计算结果</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417"/>
              <w:gridCol w:w="1376"/>
              <w:gridCol w:w="960"/>
              <w:gridCol w:w="1676"/>
              <w:gridCol w:w="1619"/>
            </w:tblGrid>
            <w:tr w14:paraId="24B1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atLeast"/>
                <w:jc w:val="center"/>
              </w:trPr>
              <w:tc>
                <w:tcPr>
                  <w:tcW w:w="821" w:type="pct"/>
                  <w:tcBorders>
                    <w:tl2br w:val="nil"/>
                    <w:tr2bl w:val="nil"/>
                  </w:tcBorders>
                  <w:shd w:val="clear" w:color="auto" w:fill="auto"/>
                  <w:vAlign w:val="center"/>
                </w:tcPr>
                <w:p w14:paraId="34A7A6C8">
                  <w:pPr>
                    <w:pStyle w:val="49"/>
                    <w:rPr>
                      <w:color w:val="auto"/>
                    </w:rPr>
                  </w:pPr>
                  <w:r>
                    <w:rPr>
                      <w:color w:val="auto"/>
                    </w:rPr>
                    <w:t>污染物</w:t>
                  </w:r>
                </w:p>
              </w:tc>
              <w:tc>
                <w:tcPr>
                  <w:tcW w:w="840" w:type="pct"/>
                  <w:tcBorders>
                    <w:tl2br w:val="nil"/>
                    <w:tr2bl w:val="nil"/>
                  </w:tcBorders>
                  <w:shd w:val="clear" w:color="auto" w:fill="auto"/>
                  <w:vAlign w:val="center"/>
                </w:tcPr>
                <w:p w14:paraId="4C3C0CCB">
                  <w:pPr>
                    <w:pStyle w:val="49"/>
                    <w:rPr>
                      <w:color w:val="auto"/>
                    </w:rPr>
                  </w:pPr>
                  <w:r>
                    <w:rPr>
                      <w:color w:val="auto"/>
                    </w:rPr>
                    <w:t>无组织排放量Q</w:t>
                  </w:r>
                  <w:r>
                    <w:rPr>
                      <w:color w:val="auto"/>
                      <w:vertAlign w:val="subscript"/>
                    </w:rPr>
                    <w:t>c</w:t>
                  </w:r>
                  <w:r>
                    <w:rPr>
                      <w:color w:val="auto"/>
                    </w:rPr>
                    <w:t>（kg/h）</w:t>
                  </w:r>
                </w:p>
              </w:tc>
              <w:tc>
                <w:tcPr>
                  <w:tcW w:w="816" w:type="pct"/>
                  <w:tcBorders>
                    <w:tl2br w:val="nil"/>
                    <w:tr2bl w:val="nil"/>
                  </w:tcBorders>
                  <w:shd w:val="clear" w:color="auto" w:fill="auto"/>
                  <w:vAlign w:val="center"/>
                </w:tcPr>
                <w:p w14:paraId="413BBDFF">
                  <w:pPr>
                    <w:pStyle w:val="49"/>
                    <w:rPr>
                      <w:color w:val="auto"/>
                    </w:rPr>
                  </w:pPr>
                  <w:r>
                    <w:rPr>
                      <w:color w:val="auto"/>
                    </w:rPr>
                    <w:t>标准限值C</w:t>
                  </w:r>
                  <w:r>
                    <w:rPr>
                      <w:color w:val="auto"/>
                      <w:vertAlign w:val="subscript"/>
                    </w:rPr>
                    <w:t>m</w:t>
                  </w:r>
                  <w:r>
                    <w:rPr>
                      <w:color w:val="auto"/>
                    </w:rPr>
                    <w:t>（mg/m</w:t>
                  </w:r>
                  <w:r>
                    <w:rPr>
                      <w:color w:val="auto"/>
                      <w:vertAlign w:val="superscript"/>
                    </w:rPr>
                    <w:t>3</w:t>
                  </w:r>
                  <w:r>
                    <w:rPr>
                      <w:color w:val="auto"/>
                    </w:rPr>
                    <w:t>）</w:t>
                  </w:r>
                </w:p>
              </w:tc>
              <w:tc>
                <w:tcPr>
                  <w:tcW w:w="569" w:type="pct"/>
                  <w:tcBorders>
                    <w:tl2br w:val="nil"/>
                    <w:tr2bl w:val="nil"/>
                  </w:tcBorders>
                  <w:shd w:val="clear" w:color="auto" w:fill="auto"/>
                  <w:vAlign w:val="center"/>
                </w:tcPr>
                <w:p w14:paraId="449984EA">
                  <w:pPr>
                    <w:pStyle w:val="49"/>
                    <w:rPr>
                      <w:color w:val="auto"/>
                    </w:rPr>
                  </w:pPr>
                  <w:r>
                    <w:rPr>
                      <w:color w:val="auto"/>
                    </w:rPr>
                    <w:t>等效半径r（m）</w:t>
                  </w:r>
                </w:p>
              </w:tc>
              <w:tc>
                <w:tcPr>
                  <w:tcW w:w="994" w:type="pct"/>
                  <w:tcBorders>
                    <w:tl2br w:val="nil"/>
                    <w:tr2bl w:val="nil"/>
                  </w:tcBorders>
                  <w:shd w:val="clear" w:color="auto" w:fill="auto"/>
                  <w:vAlign w:val="center"/>
                </w:tcPr>
                <w:p w14:paraId="2BF6F302">
                  <w:pPr>
                    <w:pStyle w:val="49"/>
                    <w:rPr>
                      <w:color w:val="auto"/>
                    </w:rPr>
                  </w:pPr>
                  <w:r>
                    <w:rPr>
                      <w:color w:val="auto"/>
                    </w:rPr>
                    <w:t>卫生防护距离计算值L（m）</w:t>
                  </w:r>
                </w:p>
              </w:tc>
              <w:tc>
                <w:tcPr>
                  <w:tcW w:w="957" w:type="pct"/>
                  <w:tcBorders>
                    <w:tl2br w:val="nil"/>
                    <w:tr2bl w:val="nil"/>
                  </w:tcBorders>
                  <w:shd w:val="clear" w:color="auto" w:fill="auto"/>
                  <w:vAlign w:val="center"/>
                </w:tcPr>
                <w:p w14:paraId="470DEC23">
                  <w:pPr>
                    <w:pStyle w:val="49"/>
                    <w:rPr>
                      <w:color w:val="auto"/>
                    </w:rPr>
                  </w:pPr>
                  <w:r>
                    <w:rPr>
                      <w:color w:val="auto"/>
                    </w:rPr>
                    <w:t>卫生防护距离确定值（m）</w:t>
                  </w:r>
                </w:p>
              </w:tc>
            </w:tr>
            <w:tr w14:paraId="5400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1" w:type="pct"/>
                  <w:tcBorders>
                    <w:tl2br w:val="nil"/>
                    <w:tr2bl w:val="nil"/>
                  </w:tcBorders>
                  <w:shd w:val="clear" w:color="auto" w:fill="auto"/>
                  <w:vAlign w:val="center"/>
                </w:tcPr>
                <w:p w14:paraId="135F47D4">
                  <w:pPr>
                    <w:pStyle w:val="51"/>
                    <w:rPr>
                      <w:color w:val="auto"/>
                    </w:rPr>
                  </w:pPr>
                  <w:r>
                    <w:rPr>
                      <w:color w:val="auto"/>
                    </w:rPr>
                    <w:t>非甲烷总烃</w:t>
                  </w:r>
                </w:p>
              </w:tc>
              <w:tc>
                <w:tcPr>
                  <w:tcW w:w="840" w:type="pct"/>
                  <w:tcBorders>
                    <w:tl2br w:val="nil"/>
                    <w:tr2bl w:val="nil"/>
                  </w:tcBorders>
                  <w:shd w:val="clear" w:color="auto" w:fill="auto"/>
                  <w:vAlign w:val="center"/>
                </w:tcPr>
                <w:p w14:paraId="325E9E66">
                  <w:pPr>
                    <w:pStyle w:val="51"/>
                    <w:rPr>
                      <w:color w:val="auto"/>
                    </w:rPr>
                  </w:pPr>
                  <w:r>
                    <w:rPr>
                      <w:rFonts w:hint="eastAsia"/>
                      <w:color w:val="auto"/>
                    </w:rPr>
                    <w:t>0.0565</w:t>
                  </w:r>
                </w:p>
              </w:tc>
              <w:tc>
                <w:tcPr>
                  <w:tcW w:w="816" w:type="pct"/>
                  <w:tcBorders>
                    <w:tl2br w:val="nil"/>
                    <w:tr2bl w:val="nil"/>
                  </w:tcBorders>
                  <w:shd w:val="clear" w:color="auto" w:fill="auto"/>
                  <w:vAlign w:val="center"/>
                </w:tcPr>
                <w:p w14:paraId="2284EBB8">
                  <w:pPr>
                    <w:pStyle w:val="51"/>
                    <w:rPr>
                      <w:color w:val="auto"/>
                    </w:rPr>
                  </w:pPr>
                  <w:r>
                    <w:rPr>
                      <w:rFonts w:hint="eastAsia"/>
                      <w:color w:val="auto"/>
                    </w:rPr>
                    <w:t>0.6</w:t>
                  </w:r>
                </w:p>
              </w:tc>
              <w:tc>
                <w:tcPr>
                  <w:tcW w:w="569" w:type="pct"/>
                  <w:tcBorders>
                    <w:tl2br w:val="nil"/>
                    <w:tr2bl w:val="nil"/>
                  </w:tcBorders>
                  <w:shd w:val="clear" w:color="auto" w:fill="auto"/>
                  <w:vAlign w:val="center"/>
                </w:tcPr>
                <w:p w14:paraId="3983989D">
                  <w:pPr>
                    <w:pStyle w:val="51"/>
                    <w:rPr>
                      <w:color w:val="auto"/>
                    </w:rPr>
                  </w:pPr>
                  <w:r>
                    <w:rPr>
                      <w:rFonts w:hint="eastAsia"/>
                      <w:color w:val="auto"/>
                    </w:rPr>
                    <w:t>68.97</w:t>
                  </w:r>
                </w:p>
              </w:tc>
              <w:tc>
                <w:tcPr>
                  <w:tcW w:w="994" w:type="pct"/>
                  <w:tcBorders>
                    <w:tl2br w:val="nil"/>
                    <w:tr2bl w:val="nil"/>
                  </w:tcBorders>
                  <w:shd w:val="clear" w:color="auto" w:fill="auto"/>
                  <w:vAlign w:val="center"/>
                </w:tcPr>
                <w:p w14:paraId="50EA6F8D">
                  <w:pPr>
                    <w:pStyle w:val="51"/>
                    <w:rPr>
                      <w:color w:val="auto"/>
                    </w:rPr>
                  </w:pPr>
                  <w:r>
                    <w:rPr>
                      <w:rFonts w:hint="eastAsia"/>
                      <w:color w:val="auto"/>
                    </w:rPr>
                    <w:t>1.34</w:t>
                  </w:r>
                </w:p>
              </w:tc>
              <w:tc>
                <w:tcPr>
                  <w:tcW w:w="957" w:type="pct"/>
                  <w:tcBorders>
                    <w:tl2br w:val="nil"/>
                    <w:tr2bl w:val="nil"/>
                  </w:tcBorders>
                  <w:shd w:val="clear" w:color="auto" w:fill="auto"/>
                  <w:vAlign w:val="center"/>
                </w:tcPr>
                <w:p w14:paraId="21444741">
                  <w:pPr>
                    <w:pStyle w:val="51"/>
                    <w:rPr>
                      <w:color w:val="auto"/>
                    </w:rPr>
                  </w:pPr>
                  <w:r>
                    <w:rPr>
                      <w:color w:val="auto"/>
                    </w:rPr>
                    <w:t>50</w:t>
                  </w:r>
                </w:p>
              </w:tc>
            </w:tr>
            <w:tr w14:paraId="452C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6"/>
                  <w:tcBorders>
                    <w:tl2br w:val="nil"/>
                    <w:tr2bl w:val="nil"/>
                  </w:tcBorders>
                  <w:shd w:val="clear" w:color="auto" w:fill="auto"/>
                  <w:vAlign w:val="center"/>
                </w:tcPr>
                <w:p w14:paraId="303E9ADE">
                  <w:pPr>
                    <w:pStyle w:val="51"/>
                    <w:jc w:val="both"/>
                    <w:rPr>
                      <w:color w:val="auto"/>
                    </w:rPr>
                  </w:pPr>
                  <w:r>
                    <w:rPr>
                      <w:color w:val="auto"/>
                    </w:rPr>
                    <w:t>注：《环境影响评价技术导则 大气环境》（HJ 2.2-2018）中规定总挥发性有机物标准值为0.6mg/m</w:t>
                  </w:r>
                  <w:r>
                    <w:rPr>
                      <w:color w:val="auto"/>
                      <w:vertAlign w:val="superscript"/>
                    </w:rPr>
                    <w:t>3</w:t>
                  </w:r>
                  <w:r>
                    <w:rPr>
                      <w:color w:val="auto"/>
                    </w:rPr>
                    <w:t>，则NMHC的Cm取其值。</w:t>
                  </w:r>
                </w:p>
              </w:tc>
            </w:tr>
          </w:tbl>
          <w:p w14:paraId="69CA6D01">
            <w:pPr>
              <w:pStyle w:val="47"/>
              <w:ind w:firstLine="480"/>
              <w:rPr>
                <w:color w:val="auto"/>
              </w:rPr>
            </w:pPr>
            <w:r>
              <w:rPr>
                <w:color w:val="auto"/>
              </w:rPr>
              <w:t>根据计算结果，本项目需以</w:t>
            </w:r>
            <w:r>
              <w:rPr>
                <w:rFonts w:hint="eastAsia"/>
                <w:color w:val="auto"/>
              </w:rPr>
              <w:t>2</w:t>
            </w:r>
            <w:r>
              <w:rPr>
                <w:color w:val="auto"/>
              </w:rPr>
              <w:t>#厂房向外设置50m卫生防护距离。根据现场踏勘，项目卫生防护距离范围内目前无居民点以及其他环境空气敏感保护点，今后在此范围内也不得建设居民点、学校、医院等环境敏感项目。在此条件下，对当地的环境空气质量影响较小，可满足环境管理要求。因此，</w:t>
            </w:r>
            <w:r>
              <w:rPr>
                <w:rFonts w:hint="eastAsia"/>
                <w:color w:val="auto"/>
              </w:rPr>
              <w:t>本</w:t>
            </w:r>
            <w:r>
              <w:rPr>
                <w:color w:val="auto"/>
              </w:rPr>
              <w:t>项目设置的卫生防护距离可以满足环境要求。</w:t>
            </w:r>
          </w:p>
          <w:p w14:paraId="6E0F09EA">
            <w:pPr>
              <w:pStyle w:val="47"/>
              <w:ind w:firstLine="482"/>
              <w:rPr>
                <w:b/>
                <w:bCs/>
                <w:color w:val="auto"/>
              </w:rPr>
            </w:pPr>
            <w:r>
              <w:rPr>
                <w:b/>
                <w:bCs/>
                <w:color w:val="auto"/>
              </w:rPr>
              <w:t>（6）废气监测计划</w:t>
            </w:r>
          </w:p>
          <w:p w14:paraId="7824C107">
            <w:pPr>
              <w:pStyle w:val="47"/>
              <w:ind w:firstLine="480"/>
              <w:rPr>
                <w:color w:val="auto"/>
              </w:rPr>
            </w:pPr>
            <w:r>
              <w:rPr>
                <w:color w:val="auto"/>
              </w:rPr>
              <w:t>依据《排污单位自行监测技术指南 总则》（HJ819-2017）和《排污单位自行监测技术指南 纺织印染工业》（HJ879-2017）等，本项目运营期污染源自行监测计划详见</w:t>
            </w:r>
            <w:r>
              <w:rPr>
                <w:color w:val="auto"/>
              </w:rPr>
              <w:fldChar w:fldCharType="begin"/>
            </w:r>
            <w:r>
              <w:rPr>
                <w:color w:val="auto"/>
              </w:rPr>
              <w:instrText xml:space="preserve"> REF _Ref8857 \h </w:instrText>
            </w:r>
            <w:r>
              <w:rPr>
                <w:color w:val="auto"/>
              </w:rPr>
              <w:fldChar w:fldCharType="separate"/>
            </w:r>
            <w:r>
              <w:rPr>
                <w:color w:val="auto"/>
              </w:rPr>
              <w:t>表4- 8</w:t>
            </w:r>
            <w:r>
              <w:rPr>
                <w:color w:val="auto"/>
              </w:rPr>
              <w:fldChar w:fldCharType="end"/>
            </w:r>
            <w:r>
              <w:rPr>
                <w:color w:val="auto"/>
              </w:rPr>
              <w:t>。</w:t>
            </w:r>
          </w:p>
          <w:p w14:paraId="45DC471E">
            <w:pPr>
              <w:pStyle w:val="7"/>
              <w:rPr>
                <w:color w:val="auto"/>
              </w:rPr>
            </w:pPr>
            <w:bookmarkStart w:id="57" w:name="_Ref8857"/>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8</w:t>
            </w:r>
            <w:r>
              <w:rPr>
                <w:color w:val="auto"/>
              </w:rPr>
              <w:fldChar w:fldCharType="end"/>
            </w:r>
            <w:bookmarkEnd w:id="57"/>
            <w:r>
              <w:rPr>
                <w:color w:val="auto"/>
              </w:rPr>
              <w:t xml:space="preserve"> 项目实施后废气监测计划</w:t>
            </w:r>
          </w:p>
          <w:tbl>
            <w:tblPr>
              <w:tblStyle w:val="15"/>
              <w:tblW w:w="49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031"/>
              <w:gridCol w:w="1343"/>
              <w:gridCol w:w="1127"/>
              <w:gridCol w:w="3005"/>
            </w:tblGrid>
            <w:tr w14:paraId="5BA8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jc w:val="center"/>
              </w:trPr>
              <w:tc>
                <w:tcPr>
                  <w:tcW w:w="516" w:type="pct"/>
                  <w:tcBorders>
                    <w:tl2br w:val="nil"/>
                    <w:tr2bl w:val="nil"/>
                  </w:tcBorders>
                  <w:shd w:val="clear" w:color="auto" w:fill="auto"/>
                  <w:vAlign w:val="center"/>
                </w:tcPr>
                <w:p w14:paraId="1565CAAE">
                  <w:pPr>
                    <w:pStyle w:val="49"/>
                    <w:rPr>
                      <w:color w:val="auto"/>
                    </w:rPr>
                  </w:pPr>
                  <w:r>
                    <w:rPr>
                      <w:color w:val="auto"/>
                    </w:rPr>
                    <w:t>项目</w:t>
                  </w:r>
                </w:p>
              </w:tc>
              <w:tc>
                <w:tcPr>
                  <w:tcW w:w="1213" w:type="pct"/>
                  <w:tcBorders>
                    <w:tl2br w:val="nil"/>
                    <w:tr2bl w:val="nil"/>
                  </w:tcBorders>
                  <w:shd w:val="clear" w:color="auto" w:fill="auto"/>
                  <w:vAlign w:val="center"/>
                </w:tcPr>
                <w:p w14:paraId="1A88C30E">
                  <w:pPr>
                    <w:pStyle w:val="49"/>
                    <w:rPr>
                      <w:color w:val="auto"/>
                    </w:rPr>
                  </w:pPr>
                  <w:r>
                    <w:rPr>
                      <w:color w:val="auto"/>
                    </w:rPr>
                    <w:t>监测点位</w:t>
                  </w:r>
                </w:p>
              </w:tc>
              <w:tc>
                <w:tcPr>
                  <w:tcW w:w="802" w:type="pct"/>
                  <w:tcBorders>
                    <w:tl2br w:val="nil"/>
                    <w:tr2bl w:val="nil"/>
                  </w:tcBorders>
                  <w:shd w:val="clear" w:color="auto" w:fill="auto"/>
                  <w:vAlign w:val="center"/>
                </w:tcPr>
                <w:p w14:paraId="7CBBDA9C">
                  <w:pPr>
                    <w:pStyle w:val="49"/>
                    <w:rPr>
                      <w:color w:val="auto"/>
                    </w:rPr>
                  </w:pPr>
                  <w:r>
                    <w:rPr>
                      <w:color w:val="auto"/>
                    </w:rPr>
                    <w:t>监测因子</w:t>
                  </w:r>
                </w:p>
              </w:tc>
              <w:tc>
                <w:tcPr>
                  <w:tcW w:w="673" w:type="pct"/>
                  <w:tcBorders>
                    <w:tl2br w:val="nil"/>
                    <w:tr2bl w:val="nil"/>
                  </w:tcBorders>
                  <w:shd w:val="clear" w:color="auto" w:fill="auto"/>
                  <w:vAlign w:val="center"/>
                </w:tcPr>
                <w:p w14:paraId="62000305">
                  <w:pPr>
                    <w:pStyle w:val="49"/>
                    <w:rPr>
                      <w:color w:val="auto"/>
                    </w:rPr>
                  </w:pPr>
                  <w:r>
                    <w:rPr>
                      <w:color w:val="auto"/>
                    </w:rPr>
                    <w:t>监测频次</w:t>
                  </w:r>
                </w:p>
              </w:tc>
              <w:tc>
                <w:tcPr>
                  <w:tcW w:w="1794" w:type="pct"/>
                  <w:tcBorders>
                    <w:tl2br w:val="nil"/>
                    <w:tr2bl w:val="nil"/>
                  </w:tcBorders>
                  <w:shd w:val="clear" w:color="auto" w:fill="auto"/>
                  <w:vAlign w:val="center"/>
                </w:tcPr>
                <w:p w14:paraId="7B49C7CB">
                  <w:pPr>
                    <w:pStyle w:val="49"/>
                    <w:rPr>
                      <w:color w:val="auto"/>
                    </w:rPr>
                  </w:pPr>
                  <w:r>
                    <w:rPr>
                      <w:color w:val="auto"/>
                    </w:rPr>
                    <w:t>执行标准</w:t>
                  </w:r>
                </w:p>
              </w:tc>
            </w:tr>
            <w:tr w14:paraId="1AFD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16" w:type="pct"/>
                  <w:tcBorders>
                    <w:tl2br w:val="nil"/>
                    <w:tr2bl w:val="nil"/>
                  </w:tcBorders>
                  <w:shd w:val="clear" w:color="auto" w:fill="auto"/>
                  <w:vAlign w:val="center"/>
                </w:tcPr>
                <w:p w14:paraId="63A9526F">
                  <w:pPr>
                    <w:pStyle w:val="51"/>
                    <w:rPr>
                      <w:color w:val="auto"/>
                    </w:rPr>
                  </w:pPr>
                  <w:r>
                    <w:rPr>
                      <w:color w:val="auto"/>
                    </w:rPr>
                    <w:t>有组织</w:t>
                  </w:r>
                </w:p>
              </w:tc>
              <w:tc>
                <w:tcPr>
                  <w:tcW w:w="1213" w:type="pct"/>
                  <w:tcBorders>
                    <w:tl2br w:val="nil"/>
                    <w:tr2bl w:val="nil"/>
                  </w:tcBorders>
                  <w:shd w:val="clear" w:color="auto" w:fill="auto"/>
                  <w:vAlign w:val="center"/>
                </w:tcPr>
                <w:p w14:paraId="043125D2">
                  <w:pPr>
                    <w:pStyle w:val="51"/>
                    <w:rPr>
                      <w:color w:val="auto"/>
                    </w:rPr>
                  </w:pPr>
                  <w:r>
                    <w:rPr>
                      <w:color w:val="auto"/>
                    </w:rPr>
                    <w:t>DA001</w:t>
                  </w:r>
                  <w:r>
                    <w:rPr>
                      <w:rFonts w:hint="eastAsia"/>
                      <w:color w:val="auto"/>
                    </w:rPr>
                    <w:t>、</w:t>
                  </w:r>
                  <w:r>
                    <w:rPr>
                      <w:color w:val="auto"/>
                    </w:rPr>
                    <w:t>DA00</w:t>
                  </w:r>
                  <w:r>
                    <w:rPr>
                      <w:rFonts w:hint="eastAsia"/>
                      <w:color w:val="auto"/>
                    </w:rPr>
                    <w:t>2、</w:t>
                  </w:r>
                  <w:r>
                    <w:rPr>
                      <w:color w:val="auto"/>
                    </w:rPr>
                    <w:t>DA00</w:t>
                  </w:r>
                  <w:r>
                    <w:rPr>
                      <w:rFonts w:hint="eastAsia"/>
                      <w:color w:val="auto"/>
                    </w:rPr>
                    <w:t>3、</w:t>
                  </w:r>
                  <w:r>
                    <w:rPr>
                      <w:color w:val="auto"/>
                    </w:rPr>
                    <w:t>DA00</w:t>
                  </w:r>
                  <w:r>
                    <w:rPr>
                      <w:rFonts w:hint="eastAsia"/>
                      <w:color w:val="auto"/>
                    </w:rPr>
                    <w:t>4</w:t>
                  </w:r>
                </w:p>
              </w:tc>
              <w:tc>
                <w:tcPr>
                  <w:tcW w:w="802" w:type="pct"/>
                  <w:tcBorders>
                    <w:tl2br w:val="nil"/>
                    <w:tr2bl w:val="nil"/>
                  </w:tcBorders>
                  <w:shd w:val="clear" w:color="auto" w:fill="auto"/>
                  <w:vAlign w:val="center"/>
                </w:tcPr>
                <w:p w14:paraId="17976DA4">
                  <w:pPr>
                    <w:pStyle w:val="51"/>
                    <w:rPr>
                      <w:color w:val="auto"/>
                    </w:rPr>
                  </w:pPr>
                  <w:r>
                    <w:rPr>
                      <w:rFonts w:hint="eastAsia"/>
                      <w:color w:val="auto"/>
                    </w:rPr>
                    <w:t>非甲烷总烃</w:t>
                  </w:r>
                </w:p>
              </w:tc>
              <w:tc>
                <w:tcPr>
                  <w:tcW w:w="673" w:type="pct"/>
                  <w:tcBorders>
                    <w:tl2br w:val="nil"/>
                    <w:tr2bl w:val="nil"/>
                  </w:tcBorders>
                  <w:shd w:val="clear" w:color="auto" w:fill="auto"/>
                  <w:vAlign w:val="center"/>
                </w:tcPr>
                <w:p w14:paraId="48061181">
                  <w:pPr>
                    <w:pStyle w:val="51"/>
                    <w:rPr>
                      <w:color w:val="auto"/>
                    </w:rPr>
                  </w:pPr>
                  <w:r>
                    <w:rPr>
                      <w:rFonts w:hint="eastAsia"/>
                      <w:color w:val="auto"/>
                    </w:rPr>
                    <w:t>1次/半年</w:t>
                  </w:r>
                </w:p>
              </w:tc>
              <w:tc>
                <w:tcPr>
                  <w:tcW w:w="1794" w:type="pct"/>
                  <w:tcBorders>
                    <w:tl2br w:val="nil"/>
                    <w:tr2bl w:val="nil"/>
                  </w:tcBorders>
                  <w:shd w:val="clear" w:color="auto" w:fill="auto"/>
                  <w:vAlign w:val="center"/>
                </w:tcPr>
                <w:p w14:paraId="77AF0F7B">
                  <w:pPr>
                    <w:pStyle w:val="51"/>
                    <w:rPr>
                      <w:color w:val="auto"/>
                    </w:rPr>
                  </w:pPr>
                  <w:r>
                    <w:rPr>
                      <w:color w:val="auto"/>
                    </w:rPr>
                    <w:t xml:space="preserve">《大气污染物综合排放标准》 </w:t>
                  </w:r>
                </w:p>
                <w:p w14:paraId="6ED40637">
                  <w:pPr>
                    <w:pStyle w:val="51"/>
                    <w:rPr>
                      <w:color w:val="auto"/>
                    </w:rPr>
                  </w:pPr>
                  <w:r>
                    <w:rPr>
                      <w:color w:val="auto"/>
                    </w:rPr>
                    <w:t>（DB32/4041-2021）表1</w:t>
                  </w:r>
                </w:p>
              </w:tc>
            </w:tr>
            <w:tr w14:paraId="2587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6" w:type="pct"/>
                  <w:vMerge w:val="restart"/>
                  <w:tcBorders>
                    <w:tl2br w:val="nil"/>
                    <w:tr2bl w:val="nil"/>
                  </w:tcBorders>
                  <w:shd w:val="clear" w:color="auto" w:fill="auto"/>
                  <w:vAlign w:val="center"/>
                </w:tcPr>
                <w:p w14:paraId="4CC96F5F">
                  <w:pPr>
                    <w:pStyle w:val="51"/>
                    <w:rPr>
                      <w:color w:val="auto"/>
                    </w:rPr>
                  </w:pPr>
                  <w:r>
                    <w:rPr>
                      <w:color w:val="auto"/>
                    </w:rPr>
                    <w:t>无组织</w:t>
                  </w:r>
                </w:p>
              </w:tc>
              <w:tc>
                <w:tcPr>
                  <w:tcW w:w="1213" w:type="pct"/>
                  <w:tcBorders>
                    <w:tl2br w:val="nil"/>
                    <w:tr2bl w:val="nil"/>
                  </w:tcBorders>
                  <w:shd w:val="clear" w:color="auto" w:fill="auto"/>
                  <w:vAlign w:val="center"/>
                </w:tcPr>
                <w:p w14:paraId="42FB71C2">
                  <w:pPr>
                    <w:pStyle w:val="51"/>
                    <w:rPr>
                      <w:color w:val="auto"/>
                    </w:rPr>
                  </w:pPr>
                  <w:r>
                    <w:rPr>
                      <w:rFonts w:hint="eastAsia"/>
                      <w:color w:val="auto"/>
                    </w:rPr>
                    <w:t>厂区内</w:t>
                  </w:r>
                </w:p>
              </w:tc>
              <w:tc>
                <w:tcPr>
                  <w:tcW w:w="802" w:type="pct"/>
                  <w:tcBorders>
                    <w:tl2br w:val="nil"/>
                    <w:tr2bl w:val="nil"/>
                  </w:tcBorders>
                  <w:shd w:val="clear" w:color="auto" w:fill="auto"/>
                  <w:vAlign w:val="center"/>
                </w:tcPr>
                <w:p w14:paraId="3682A0D3">
                  <w:pPr>
                    <w:pStyle w:val="51"/>
                    <w:rPr>
                      <w:color w:val="auto"/>
                    </w:rPr>
                  </w:pPr>
                  <w:r>
                    <w:rPr>
                      <w:rFonts w:hint="eastAsia"/>
                      <w:color w:val="auto"/>
                    </w:rPr>
                    <w:t>非甲烷总烃</w:t>
                  </w:r>
                </w:p>
              </w:tc>
              <w:tc>
                <w:tcPr>
                  <w:tcW w:w="673" w:type="pct"/>
                  <w:tcBorders>
                    <w:tl2br w:val="nil"/>
                    <w:tr2bl w:val="nil"/>
                  </w:tcBorders>
                  <w:shd w:val="clear" w:color="auto" w:fill="auto"/>
                  <w:vAlign w:val="center"/>
                </w:tcPr>
                <w:p w14:paraId="45D9B977">
                  <w:pPr>
                    <w:pStyle w:val="51"/>
                    <w:rPr>
                      <w:color w:val="auto"/>
                    </w:rPr>
                  </w:pPr>
                  <w:r>
                    <w:rPr>
                      <w:rFonts w:hint="eastAsia"/>
                      <w:color w:val="auto"/>
                    </w:rPr>
                    <w:t>1次/半年</w:t>
                  </w:r>
                </w:p>
              </w:tc>
              <w:tc>
                <w:tcPr>
                  <w:tcW w:w="1794" w:type="pct"/>
                  <w:tcBorders>
                    <w:tl2br w:val="nil"/>
                    <w:tr2bl w:val="nil"/>
                  </w:tcBorders>
                  <w:shd w:val="clear" w:color="auto" w:fill="auto"/>
                  <w:vAlign w:val="center"/>
                </w:tcPr>
                <w:p w14:paraId="07BF9C26">
                  <w:pPr>
                    <w:pStyle w:val="51"/>
                    <w:rPr>
                      <w:color w:val="auto"/>
                    </w:rPr>
                  </w:pPr>
                  <w:r>
                    <w:rPr>
                      <w:color w:val="auto"/>
                    </w:rPr>
                    <w:t xml:space="preserve">《大气污染物综合排放标准》 </w:t>
                  </w:r>
                </w:p>
                <w:p w14:paraId="08DB098F">
                  <w:pPr>
                    <w:pStyle w:val="51"/>
                    <w:rPr>
                      <w:color w:val="auto"/>
                    </w:rPr>
                  </w:pPr>
                  <w:r>
                    <w:rPr>
                      <w:color w:val="auto"/>
                    </w:rPr>
                    <w:t>（DB32/4041-2021）表</w:t>
                  </w:r>
                  <w:r>
                    <w:rPr>
                      <w:rFonts w:hint="eastAsia"/>
                      <w:color w:val="auto"/>
                    </w:rPr>
                    <w:t>2</w:t>
                  </w:r>
                </w:p>
              </w:tc>
            </w:tr>
            <w:tr w14:paraId="197E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6" w:type="pct"/>
                  <w:vMerge w:val="continue"/>
                  <w:tcBorders>
                    <w:tl2br w:val="nil"/>
                    <w:tr2bl w:val="nil"/>
                  </w:tcBorders>
                  <w:shd w:val="clear" w:color="auto" w:fill="auto"/>
                  <w:vAlign w:val="center"/>
                </w:tcPr>
                <w:p w14:paraId="31654D8E">
                  <w:pPr>
                    <w:pStyle w:val="51"/>
                    <w:rPr>
                      <w:color w:val="auto"/>
                    </w:rPr>
                  </w:pPr>
                </w:p>
              </w:tc>
              <w:tc>
                <w:tcPr>
                  <w:tcW w:w="1213" w:type="pct"/>
                  <w:tcBorders>
                    <w:tl2br w:val="nil"/>
                    <w:tr2bl w:val="nil"/>
                  </w:tcBorders>
                  <w:shd w:val="clear" w:color="auto" w:fill="auto"/>
                  <w:vAlign w:val="center"/>
                </w:tcPr>
                <w:p w14:paraId="7AE20B2C">
                  <w:pPr>
                    <w:pStyle w:val="51"/>
                    <w:rPr>
                      <w:color w:val="auto"/>
                    </w:rPr>
                  </w:pPr>
                  <w:r>
                    <w:rPr>
                      <w:rFonts w:hint="eastAsia"/>
                      <w:color w:val="auto"/>
                    </w:rPr>
                    <w:t>厂界</w:t>
                  </w:r>
                </w:p>
              </w:tc>
              <w:tc>
                <w:tcPr>
                  <w:tcW w:w="802" w:type="pct"/>
                  <w:tcBorders>
                    <w:tl2br w:val="nil"/>
                    <w:tr2bl w:val="nil"/>
                  </w:tcBorders>
                  <w:shd w:val="clear" w:color="auto" w:fill="auto"/>
                  <w:vAlign w:val="center"/>
                </w:tcPr>
                <w:p w14:paraId="5C438B3A">
                  <w:pPr>
                    <w:pStyle w:val="51"/>
                    <w:rPr>
                      <w:color w:val="auto"/>
                    </w:rPr>
                  </w:pPr>
                  <w:r>
                    <w:rPr>
                      <w:rFonts w:hint="eastAsia"/>
                      <w:color w:val="auto"/>
                    </w:rPr>
                    <w:t>非甲烷总烃</w:t>
                  </w:r>
                </w:p>
              </w:tc>
              <w:tc>
                <w:tcPr>
                  <w:tcW w:w="673" w:type="pct"/>
                  <w:tcBorders>
                    <w:tl2br w:val="nil"/>
                    <w:tr2bl w:val="nil"/>
                  </w:tcBorders>
                  <w:shd w:val="clear" w:color="auto" w:fill="auto"/>
                  <w:vAlign w:val="center"/>
                </w:tcPr>
                <w:p w14:paraId="1BBE62D0">
                  <w:pPr>
                    <w:pStyle w:val="51"/>
                    <w:rPr>
                      <w:color w:val="auto"/>
                    </w:rPr>
                  </w:pPr>
                  <w:r>
                    <w:rPr>
                      <w:rFonts w:hint="eastAsia"/>
                      <w:color w:val="auto"/>
                    </w:rPr>
                    <w:t>1次/半年</w:t>
                  </w:r>
                </w:p>
              </w:tc>
              <w:tc>
                <w:tcPr>
                  <w:tcW w:w="1794" w:type="pct"/>
                  <w:tcBorders>
                    <w:tl2br w:val="nil"/>
                    <w:tr2bl w:val="nil"/>
                  </w:tcBorders>
                  <w:shd w:val="clear" w:color="auto" w:fill="auto"/>
                  <w:vAlign w:val="center"/>
                </w:tcPr>
                <w:p w14:paraId="0D1C1329">
                  <w:pPr>
                    <w:pStyle w:val="51"/>
                    <w:rPr>
                      <w:color w:val="auto"/>
                    </w:rPr>
                  </w:pPr>
                  <w:r>
                    <w:rPr>
                      <w:color w:val="auto"/>
                    </w:rPr>
                    <w:t>《大气污染物综合排放标准》（DB 32/4041-2021）表3</w:t>
                  </w:r>
                </w:p>
              </w:tc>
            </w:tr>
          </w:tbl>
          <w:p w14:paraId="2588DA26">
            <w:pPr>
              <w:pStyle w:val="47"/>
              <w:ind w:firstLine="482"/>
              <w:rPr>
                <w:b/>
                <w:bCs/>
                <w:color w:val="auto"/>
              </w:rPr>
            </w:pPr>
            <w:r>
              <w:rPr>
                <w:b/>
                <w:bCs/>
                <w:color w:val="auto"/>
              </w:rPr>
              <w:t>（7）大气环境影响评价结论</w:t>
            </w:r>
          </w:p>
          <w:p w14:paraId="6CF23B4D">
            <w:pPr>
              <w:pStyle w:val="47"/>
              <w:ind w:firstLine="480"/>
              <w:rPr>
                <w:color w:val="auto"/>
              </w:rPr>
            </w:pPr>
            <w:r>
              <w:rPr>
                <w:color w:val="auto"/>
              </w:rPr>
              <w:t>根据现状调查数据，本项目所在区域为不达标区域，超标因子为PM</w:t>
            </w:r>
            <w:r>
              <w:rPr>
                <w:color w:val="auto"/>
                <w:vertAlign w:val="subscript"/>
              </w:rPr>
              <w:t>2.5</w:t>
            </w:r>
            <w:r>
              <w:rPr>
                <w:color w:val="auto"/>
              </w:rPr>
              <w:t>、O</w:t>
            </w:r>
            <w:r>
              <w:rPr>
                <w:color w:val="auto"/>
                <w:vertAlign w:val="subscript"/>
              </w:rPr>
              <w:t>3</w:t>
            </w:r>
            <w:r>
              <w:rPr>
                <w:color w:val="auto"/>
              </w:rPr>
              <w:t>，但区域制定了大气整改措施，待各项措施落实后，区域大气环境质量可满足区域环境质量标准。本项目采取的废气治理措施技术可行，废气污染物均可得到有效收集处理后达标排放，排放强度较小，且满足排放标准要求。</w:t>
            </w:r>
          </w:p>
          <w:p w14:paraId="6F0002D2">
            <w:pPr>
              <w:pStyle w:val="47"/>
              <w:ind w:firstLine="482"/>
              <w:rPr>
                <w:b/>
                <w:bCs/>
                <w:color w:val="auto"/>
              </w:rPr>
            </w:pPr>
            <w:r>
              <w:rPr>
                <w:b/>
                <w:bCs/>
                <w:color w:val="auto"/>
              </w:rPr>
              <w:t>2、运营期水环境影响和保护措施</w:t>
            </w:r>
          </w:p>
          <w:p w14:paraId="5D4AEFFF">
            <w:pPr>
              <w:pStyle w:val="47"/>
              <w:ind w:firstLine="482"/>
              <w:rPr>
                <w:b/>
                <w:bCs/>
                <w:color w:val="auto"/>
              </w:rPr>
            </w:pPr>
            <w:r>
              <w:rPr>
                <w:b/>
                <w:bCs/>
                <w:color w:val="auto"/>
              </w:rPr>
              <w:t>（1）污染源分析</w:t>
            </w:r>
          </w:p>
          <w:p w14:paraId="625640DF">
            <w:pPr>
              <w:pStyle w:val="47"/>
              <w:ind w:firstLine="480"/>
              <w:rPr>
                <w:color w:val="auto"/>
              </w:rPr>
            </w:pPr>
            <w:r>
              <w:rPr>
                <w:color w:val="auto"/>
              </w:rPr>
              <w:t>根据前文水平衡分析，本项目用水为职工生活用水、</w:t>
            </w:r>
            <w:r>
              <w:rPr>
                <w:rFonts w:hint="eastAsia"/>
                <w:color w:val="auto"/>
              </w:rPr>
              <w:t>喷水织造用水、磨毛用水</w:t>
            </w:r>
            <w:r>
              <w:rPr>
                <w:color w:val="auto"/>
              </w:rPr>
              <w:t>，其中仅职工生活污水外排</w:t>
            </w:r>
            <w:r>
              <w:rPr>
                <w:rFonts w:hint="eastAsia"/>
                <w:color w:val="auto"/>
              </w:rPr>
              <w:t>，喷水织造废水和磨毛用水循环回用、不外排</w:t>
            </w:r>
            <w:r>
              <w:rPr>
                <w:color w:val="auto"/>
              </w:rPr>
              <w:t>。</w:t>
            </w:r>
          </w:p>
          <w:p w14:paraId="5721B917">
            <w:pPr>
              <w:pStyle w:val="47"/>
              <w:ind w:firstLine="482"/>
              <w:rPr>
                <w:b/>
                <w:bCs/>
                <w:color w:val="auto"/>
              </w:rPr>
            </w:pPr>
            <w:r>
              <w:rPr>
                <w:rFonts w:hint="eastAsia"/>
                <w:b/>
                <w:bCs/>
                <w:color w:val="auto"/>
              </w:rPr>
              <w:t>①职工生活污水</w:t>
            </w:r>
          </w:p>
          <w:p w14:paraId="6B1E84E3">
            <w:pPr>
              <w:pStyle w:val="47"/>
              <w:ind w:firstLine="480"/>
              <w:rPr>
                <w:color w:val="auto"/>
              </w:rPr>
            </w:pPr>
            <w:r>
              <w:rPr>
                <w:color w:val="auto"/>
              </w:rPr>
              <w:t>本项目员工</w:t>
            </w:r>
            <w:r>
              <w:rPr>
                <w:rFonts w:hint="eastAsia"/>
                <w:color w:val="auto"/>
              </w:rPr>
              <w:t>定员200</w:t>
            </w:r>
            <w:r>
              <w:rPr>
                <w:color w:val="auto"/>
              </w:rPr>
              <w:t>人。根据《建筑给水排水设计规范》（GB50015-2019），用水定额取</w:t>
            </w:r>
            <w:r>
              <w:rPr>
                <w:rFonts w:hint="eastAsia"/>
                <w:color w:val="auto"/>
              </w:rPr>
              <w:t>50</w:t>
            </w:r>
            <w:r>
              <w:rPr>
                <w:color w:val="auto"/>
              </w:rPr>
              <w:t>L/人·d，则职工生活用水量为</w:t>
            </w:r>
            <w:r>
              <w:rPr>
                <w:rFonts w:hint="eastAsia"/>
                <w:color w:val="auto"/>
              </w:rPr>
              <w:t>3000</w:t>
            </w:r>
            <w:r>
              <w:rPr>
                <w:color w:val="auto"/>
              </w:rPr>
              <w:t>m</w:t>
            </w:r>
            <w:r>
              <w:rPr>
                <w:color w:val="auto"/>
                <w:vertAlign w:val="superscript"/>
              </w:rPr>
              <w:t>3</w:t>
            </w:r>
            <w:r>
              <w:rPr>
                <w:color w:val="auto"/>
              </w:rPr>
              <w:t>/a。职工生活用水产污系数为0.8，则职工生活污水产生量为</w:t>
            </w:r>
            <w:r>
              <w:rPr>
                <w:rFonts w:hint="eastAsia"/>
                <w:color w:val="auto"/>
              </w:rPr>
              <w:t>2400</w:t>
            </w:r>
            <w:r>
              <w:rPr>
                <w:color w:val="auto"/>
              </w:rPr>
              <w:t>m</w:t>
            </w:r>
            <w:r>
              <w:rPr>
                <w:color w:val="auto"/>
                <w:vertAlign w:val="superscript"/>
              </w:rPr>
              <w:t>3</w:t>
            </w:r>
            <w:r>
              <w:rPr>
                <w:color w:val="auto"/>
              </w:rPr>
              <w:t>/a。主要污染物及其产生浓度为：COD</w:t>
            </w:r>
            <w:r>
              <w:rPr>
                <w:rFonts w:hint="eastAsia"/>
                <w:color w:val="auto"/>
              </w:rPr>
              <w:t>350</w:t>
            </w:r>
            <w:r>
              <w:rPr>
                <w:color w:val="auto"/>
              </w:rPr>
              <w:t>mg/L、SS</w:t>
            </w:r>
            <w:r>
              <w:rPr>
                <w:rFonts w:hint="eastAsia"/>
                <w:color w:val="auto"/>
              </w:rPr>
              <w:t>200</w:t>
            </w:r>
            <w:r>
              <w:rPr>
                <w:color w:val="auto"/>
              </w:rPr>
              <w:t>mg/L、氨氮</w:t>
            </w:r>
            <w:r>
              <w:rPr>
                <w:rFonts w:hint="eastAsia"/>
                <w:color w:val="auto"/>
              </w:rPr>
              <w:t>35</w:t>
            </w:r>
            <w:r>
              <w:rPr>
                <w:color w:val="auto"/>
              </w:rPr>
              <w:t>mg/L、TN</w:t>
            </w:r>
            <w:r>
              <w:rPr>
                <w:rFonts w:hint="eastAsia"/>
                <w:color w:val="auto"/>
              </w:rPr>
              <w:t>45</w:t>
            </w:r>
            <w:r>
              <w:rPr>
                <w:color w:val="auto"/>
              </w:rPr>
              <w:t>mg/L、TP3mg/L。</w:t>
            </w:r>
          </w:p>
          <w:p w14:paraId="527E32F1">
            <w:pPr>
              <w:pStyle w:val="47"/>
              <w:ind w:firstLine="482"/>
              <w:rPr>
                <w:b/>
                <w:bCs/>
                <w:color w:val="auto"/>
              </w:rPr>
            </w:pPr>
            <w:r>
              <w:rPr>
                <w:rFonts w:hint="eastAsia"/>
                <w:b/>
                <w:bCs/>
                <w:color w:val="auto"/>
              </w:rPr>
              <w:t>②喷水织造废水</w:t>
            </w:r>
          </w:p>
          <w:p w14:paraId="58A2EB93">
            <w:pPr>
              <w:pStyle w:val="47"/>
              <w:ind w:firstLine="480"/>
              <w:rPr>
                <w:color w:val="auto"/>
              </w:rPr>
            </w:pPr>
            <w:r>
              <w:rPr>
                <w:rFonts w:hint="eastAsia"/>
                <w:color w:val="auto"/>
              </w:rPr>
              <w:t>本项目共1200台喷水织机，每台喷水织机用水量约为3t/d，则喷水织造用水量为1080000</w:t>
            </w:r>
            <w:r>
              <w:rPr>
                <w:color w:val="auto"/>
              </w:rPr>
              <w:t>m</w:t>
            </w:r>
            <w:r>
              <w:rPr>
                <w:color w:val="auto"/>
                <w:vertAlign w:val="superscript"/>
              </w:rPr>
              <w:t>3</w:t>
            </w:r>
            <w:r>
              <w:rPr>
                <w:color w:val="auto"/>
              </w:rPr>
              <w:t>/a</w:t>
            </w:r>
            <w:r>
              <w:rPr>
                <w:rFonts w:hint="eastAsia"/>
                <w:color w:val="auto"/>
              </w:rPr>
              <w:t>。喷水织造运行过程中由于织物带走及水份蒸发会损耗部分水量，损耗率按10%计，则损耗量为108000</w:t>
            </w:r>
            <w:r>
              <w:rPr>
                <w:color w:val="auto"/>
              </w:rPr>
              <w:t>m</w:t>
            </w:r>
            <w:r>
              <w:rPr>
                <w:color w:val="auto"/>
                <w:vertAlign w:val="superscript"/>
              </w:rPr>
              <w:t>3</w:t>
            </w:r>
            <w:r>
              <w:rPr>
                <w:color w:val="auto"/>
              </w:rPr>
              <w:t>/a</w:t>
            </w:r>
            <w:r>
              <w:rPr>
                <w:rFonts w:hint="eastAsia"/>
                <w:color w:val="auto"/>
              </w:rPr>
              <w:t>，喷水织造废水产生量为972000</w:t>
            </w:r>
            <w:r>
              <w:rPr>
                <w:color w:val="auto"/>
              </w:rPr>
              <w:t>m</w:t>
            </w:r>
            <w:r>
              <w:rPr>
                <w:color w:val="auto"/>
                <w:vertAlign w:val="superscript"/>
              </w:rPr>
              <w:t>3</w:t>
            </w:r>
            <w:r>
              <w:rPr>
                <w:color w:val="auto"/>
              </w:rPr>
              <w:t>/a</w:t>
            </w:r>
            <w:r>
              <w:rPr>
                <w:rFonts w:hint="eastAsia"/>
                <w:color w:val="auto"/>
              </w:rPr>
              <w:t>。喷水织造废水经厂区污水处理站处理达标后全部回用于喷水织造、不外排。</w:t>
            </w:r>
          </w:p>
          <w:p w14:paraId="234BED86">
            <w:pPr>
              <w:pStyle w:val="47"/>
              <w:ind w:firstLine="480"/>
              <w:rPr>
                <w:color w:val="auto"/>
              </w:rPr>
            </w:pPr>
            <w:r>
              <w:rPr>
                <w:rFonts w:hint="eastAsia"/>
                <w:color w:val="auto"/>
              </w:rPr>
              <w:t>根据《排污许可证申请与核发技术规范纺织印染工业》（HJ861-2017）、《排污单位自行监测技术指南纺织印染工业》（HJ879-2017）及《纺织工业污染防治可行技术指南》（HJ1177-2021）中的相关要求，本项目喷水织造水质指标主要选取pH、COD、SS、氨氮、TN、TP、石油类、锑。</w:t>
            </w:r>
          </w:p>
          <w:p w14:paraId="50ACEFAC">
            <w:pPr>
              <w:pStyle w:val="47"/>
              <w:ind w:firstLine="480"/>
              <w:rPr>
                <w:color w:val="auto"/>
              </w:rPr>
            </w:pPr>
            <w:r>
              <w:rPr>
                <w:rFonts w:hint="eastAsia"/>
                <w:color w:val="auto"/>
              </w:rPr>
              <w:t>本项目产品、原辅材料、生产工艺均与</w:t>
            </w:r>
            <w:r>
              <w:rPr>
                <w:rFonts w:hint="eastAsia"/>
                <w:color w:val="auto"/>
                <w:lang w:val="en-US" w:eastAsia="zh-CN"/>
              </w:rPr>
              <w:t>南通源佑纺织科技有限公司高档符合布织造技术改造项目</w:t>
            </w:r>
            <w:r>
              <w:rPr>
                <w:rFonts w:hint="eastAsia"/>
                <w:color w:val="auto"/>
              </w:rPr>
              <w:t>类似，故与本项目具有可比性。本项目喷水织造废水污染物浓度参考《</w:t>
            </w:r>
            <w:r>
              <w:rPr>
                <w:rFonts w:hint="eastAsia"/>
                <w:color w:val="auto"/>
                <w:lang w:val="en-US" w:eastAsia="zh-CN"/>
              </w:rPr>
              <w:t>南通源佑纺织科技有限公司高档符合布织造技术改造项目</w:t>
            </w:r>
            <w:r>
              <w:rPr>
                <w:rFonts w:hint="eastAsia"/>
                <w:color w:val="auto"/>
              </w:rPr>
              <w:t>环境保护验收监测报告</w:t>
            </w:r>
            <w:r>
              <w:rPr>
                <w:rFonts w:hint="eastAsia"/>
                <w:color w:val="auto"/>
                <w:lang w:val="en-US" w:eastAsia="zh-CN"/>
              </w:rPr>
              <w:t>表</w:t>
            </w:r>
            <w:r>
              <w:rPr>
                <w:rFonts w:hint="eastAsia"/>
                <w:color w:val="auto"/>
              </w:rPr>
              <w:t>》（监测时间：202</w:t>
            </w:r>
            <w:r>
              <w:rPr>
                <w:rFonts w:hint="eastAsia"/>
                <w:color w:val="auto"/>
                <w:lang w:val="en-US" w:eastAsia="zh-CN"/>
              </w:rPr>
              <w:t>4</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28</w:t>
            </w:r>
            <w:r>
              <w:rPr>
                <w:rFonts w:hint="eastAsia"/>
                <w:color w:val="auto"/>
              </w:rPr>
              <w:t>日~</w:t>
            </w:r>
            <w:r>
              <w:rPr>
                <w:rFonts w:hint="eastAsia"/>
                <w:color w:val="auto"/>
                <w:lang w:val="en-US" w:eastAsia="zh-CN"/>
              </w:rPr>
              <w:t>5</w:t>
            </w:r>
            <w:r>
              <w:rPr>
                <w:rFonts w:hint="eastAsia"/>
                <w:color w:val="auto"/>
              </w:rPr>
              <w:t>月</w:t>
            </w:r>
            <w:r>
              <w:rPr>
                <w:rFonts w:hint="eastAsia"/>
                <w:color w:val="auto"/>
                <w:lang w:val="en-US" w:eastAsia="zh-CN"/>
              </w:rPr>
              <w:t>29</w:t>
            </w:r>
            <w:r>
              <w:rPr>
                <w:rFonts w:hint="eastAsia"/>
                <w:color w:val="auto"/>
              </w:rPr>
              <w:t>日），具体监测结果详见</w:t>
            </w:r>
            <w:r>
              <w:rPr>
                <w:rFonts w:hint="eastAsia"/>
                <w:color w:val="auto"/>
              </w:rPr>
              <w:fldChar w:fldCharType="begin"/>
            </w:r>
            <w:r>
              <w:rPr>
                <w:rFonts w:hint="eastAsia"/>
                <w:color w:val="auto"/>
              </w:rPr>
              <w:instrText xml:space="preserve"> REF _Ref15219 \h </w:instrText>
            </w:r>
            <w:r>
              <w:rPr>
                <w:rFonts w:hint="eastAsia"/>
                <w:color w:val="auto"/>
              </w:rPr>
              <w:fldChar w:fldCharType="separate"/>
            </w:r>
            <w:r>
              <w:rPr>
                <w:color w:val="auto"/>
              </w:rPr>
              <w:t>表4- 9</w:t>
            </w:r>
            <w:r>
              <w:rPr>
                <w:rFonts w:hint="eastAsia"/>
                <w:color w:val="auto"/>
              </w:rPr>
              <w:fldChar w:fldCharType="end"/>
            </w:r>
            <w:r>
              <w:rPr>
                <w:rFonts w:hint="eastAsia"/>
                <w:color w:val="auto"/>
              </w:rPr>
              <w:t>。</w:t>
            </w:r>
          </w:p>
          <w:p w14:paraId="5F0B7973">
            <w:pPr>
              <w:pStyle w:val="7"/>
              <w:rPr>
                <w:color w:val="auto"/>
              </w:rPr>
            </w:pPr>
            <w:bookmarkStart w:id="58" w:name="_Ref15219"/>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9</w:t>
            </w:r>
            <w:r>
              <w:rPr>
                <w:color w:val="auto"/>
              </w:rPr>
              <w:fldChar w:fldCharType="end"/>
            </w:r>
            <w:bookmarkEnd w:id="58"/>
            <w:r>
              <w:rPr>
                <w:rFonts w:hint="eastAsia"/>
                <w:color w:val="auto"/>
              </w:rPr>
              <w:t xml:space="preserve"> </w:t>
            </w:r>
            <w:r>
              <w:rPr>
                <w:rFonts w:hint="eastAsia"/>
                <w:color w:val="auto"/>
                <w:lang w:val="en-US" w:eastAsia="zh-CN"/>
              </w:rPr>
              <w:t>源佑</w:t>
            </w:r>
            <w:r>
              <w:rPr>
                <w:rFonts w:hint="eastAsia"/>
                <w:color w:val="auto"/>
              </w:rPr>
              <w:t>项目污水处理站进口监测结果与评价</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766"/>
              <w:gridCol w:w="845"/>
              <w:gridCol w:w="891"/>
              <w:gridCol w:w="891"/>
              <w:gridCol w:w="891"/>
              <w:gridCol w:w="891"/>
              <w:gridCol w:w="891"/>
              <w:gridCol w:w="895"/>
              <w:gridCol w:w="953"/>
            </w:tblGrid>
            <w:tr w14:paraId="15CE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07" w:type="pct"/>
                  <w:vMerge w:val="restart"/>
                  <w:vAlign w:val="center"/>
                </w:tcPr>
                <w:p w14:paraId="60E2DF72">
                  <w:pPr>
                    <w:pStyle w:val="49"/>
                    <w:rPr>
                      <w:rFonts w:cs="Calibri"/>
                      <w:color w:val="auto"/>
                    </w:rPr>
                  </w:pPr>
                  <w:r>
                    <w:rPr>
                      <w:rFonts w:hint="eastAsia" w:cs="Calibri"/>
                      <w:color w:val="auto"/>
                    </w:rPr>
                    <w:t>项目</w:t>
                  </w:r>
                </w:p>
              </w:tc>
              <w:tc>
                <w:tcPr>
                  <w:tcW w:w="454" w:type="pct"/>
                  <w:vMerge w:val="restart"/>
                  <w:vAlign w:val="center"/>
                </w:tcPr>
                <w:p w14:paraId="385477F3">
                  <w:pPr>
                    <w:pStyle w:val="49"/>
                    <w:rPr>
                      <w:rFonts w:cs="Calibri"/>
                      <w:color w:val="auto"/>
                    </w:rPr>
                  </w:pPr>
                  <w:r>
                    <w:rPr>
                      <w:rFonts w:hint="eastAsia" w:cs="Calibri"/>
                      <w:color w:val="auto"/>
                    </w:rPr>
                    <w:t>监测点位</w:t>
                  </w:r>
                </w:p>
              </w:tc>
              <w:tc>
                <w:tcPr>
                  <w:tcW w:w="501" w:type="pct"/>
                  <w:vMerge w:val="restart"/>
                  <w:vAlign w:val="center"/>
                </w:tcPr>
                <w:p w14:paraId="49198153">
                  <w:pPr>
                    <w:pStyle w:val="49"/>
                    <w:rPr>
                      <w:rFonts w:cs="Calibri"/>
                      <w:color w:val="auto"/>
                    </w:rPr>
                  </w:pPr>
                  <w:r>
                    <w:rPr>
                      <w:rFonts w:cs="Calibri"/>
                      <w:color w:val="auto"/>
                    </w:rPr>
                    <w:t>检测</w:t>
                  </w:r>
                </w:p>
                <w:p w14:paraId="48736256">
                  <w:pPr>
                    <w:pStyle w:val="49"/>
                    <w:rPr>
                      <w:rFonts w:cs="Calibri"/>
                      <w:color w:val="auto"/>
                    </w:rPr>
                  </w:pPr>
                  <w:r>
                    <w:rPr>
                      <w:rFonts w:cs="Calibri"/>
                      <w:color w:val="auto"/>
                    </w:rPr>
                    <w:t>频次</w:t>
                  </w:r>
                </w:p>
              </w:tc>
              <w:tc>
                <w:tcPr>
                  <w:tcW w:w="3737" w:type="pct"/>
                  <w:gridSpan w:val="7"/>
                  <w:vAlign w:val="center"/>
                </w:tcPr>
                <w:p w14:paraId="4691E0F9">
                  <w:pPr>
                    <w:pStyle w:val="49"/>
                    <w:rPr>
                      <w:rFonts w:cs="Calibri"/>
                      <w:color w:val="auto"/>
                    </w:rPr>
                  </w:pPr>
                  <w:r>
                    <w:rPr>
                      <w:rFonts w:cs="Calibri"/>
                      <w:color w:val="auto"/>
                    </w:rPr>
                    <w:t>检测结果（</w:t>
                  </w:r>
                  <w:r>
                    <w:rPr>
                      <w:rFonts w:hint="eastAsia" w:cs="Calibri"/>
                      <w:color w:val="auto"/>
                    </w:rPr>
                    <w:t>单位：</w:t>
                  </w:r>
                  <w:r>
                    <w:rPr>
                      <w:rFonts w:cs="Calibri"/>
                      <w:color w:val="auto"/>
                    </w:rPr>
                    <w:t>mg/L，pH无量纲）</w:t>
                  </w:r>
                </w:p>
              </w:tc>
            </w:tr>
            <w:tr w14:paraId="4740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 w:type="pct"/>
                  <w:vMerge w:val="continue"/>
                  <w:vAlign w:val="center"/>
                </w:tcPr>
                <w:p w14:paraId="59D386C1">
                  <w:pPr>
                    <w:pStyle w:val="49"/>
                    <w:rPr>
                      <w:rFonts w:cs="Calibri"/>
                      <w:color w:val="auto"/>
                    </w:rPr>
                  </w:pPr>
                </w:p>
              </w:tc>
              <w:tc>
                <w:tcPr>
                  <w:tcW w:w="454" w:type="pct"/>
                  <w:vMerge w:val="continue"/>
                  <w:vAlign w:val="center"/>
                </w:tcPr>
                <w:p w14:paraId="568CA3CA">
                  <w:pPr>
                    <w:pStyle w:val="49"/>
                    <w:rPr>
                      <w:rFonts w:cs="Calibri"/>
                      <w:color w:val="auto"/>
                    </w:rPr>
                  </w:pPr>
                </w:p>
              </w:tc>
              <w:tc>
                <w:tcPr>
                  <w:tcW w:w="501" w:type="pct"/>
                  <w:vMerge w:val="continue"/>
                  <w:vAlign w:val="center"/>
                </w:tcPr>
                <w:p w14:paraId="64B19115">
                  <w:pPr>
                    <w:pStyle w:val="49"/>
                    <w:rPr>
                      <w:rFonts w:cs="Calibri"/>
                      <w:color w:val="auto"/>
                    </w:rPr>
                  </w:pPr>
                </w:p>
              </w:tc>
              <w:tc>
                <w:tcPr>
                  <w:tcW w:w="528" w:type="pct"/>
                  <w:vAlign w:val="center"/>
                </w:tcPr>
                <w:p w14:paraId="58FB1F02">
                  <w:pPr>
                    <w:pStyle w:val="49"/>
                    <w:rPr>
                      <w:rFonts w:cs="Calibri"/>
                      <w:color w:val="auto"/>
                    </w:rPr>
                  </w:pPr>
                  <w:r>
                    <w:rPr>
                      <w:rFonts w:hint="eastAsia" w:cs="Calibri"/>
                      <w:color w:val="auto"/>
                    </w:rPr>
                    <w:t>COD</w:t>
                  </w:r>
                </w:p>
              </w:tc>
              <w:tc>
                <w:tcPr>
                  <w:tcW w:w="528" w:type="pct"/>
                  <w:vAlign w:val="center"/>
                </w:tcPr>
                <w:p w14:paraId="7FF08324">
                  <w:pPr>
                    <w:pStyle w:val="49"/>
                    <w:rPr>
                      <w:rFonts w:cs="Calibri"/>
                      <w:color w:val="auto"/>
                    </w:rPr>
                  </w:pPr>
                  <w:r>
                    <w:rPr>
                      <w:rFonts w:hint="eastAsia" w:cs="Calibri"/>
                      <w:color w:val="auto"/>
                    </w:rPr>
                    <w:t>SS</w:t>
                  </w:r>
                </w:p>
              </w:tc>
              <w:tc>
                <w:tcPr>
                  <w:tcW w:w="528" w:type="pct"/>
                  <w:vAlign w:val="center"/>
                </w:tcPr>
                <w:p w14:paraId="59A58572">
                  <w:pPr>
                    <w:pStyle w:val="49"/>
                    <w:rPr>
                      <w:rFonts w:cs="Calibri"/>
                      <w:color w:val="auto"/>
                    </w:rPr>
                  </w:pPr>
                  <w:r>
                    <w:rPr>
                      <w:rFonts w:hint="eastAsia" w:cs="Calibri"/>
                      <w:color w:val="auto"/>
                    </w:rPr>
                    <w:t>氨氮</w:t>
                  </w:r>
                </w:p>
              </w:tc>
              <w:tc>
                <w:tcPr>
                  <w:tcW w:w="528" w:type="pct"/>
                  <w:vAlign w:val="center"/>
                </w:tcPr>
                <w:p w14:paraId="462D6690">
                  <w:pPr>
                    <w:pStyle w:val="49"/>
                    <w:rPr>
                      <w:rFonts w:cs="Calibri"/>
                      <w:color w:val="auto"/>
                    </w:rPr>
                  </w:pPr>
                  <w:r>
                    <w:rPr>
                      <w:rFonts w:hint="eastAsia" w:cs="Calibri"/>
                      <w:color w:val="auto"/>
                    </w:rPr>
                    <w:t>TN</w:t>
                  </w:r>
                </w:p>
              </w:tc>
              <w:tc>
                <w:tcPr>
                  <w:tcW w:w="528" w:type="pct"/>
                  <w:vAlign w:val="center"/>
                </w:tcPr>
                <w:p w14:paraId="4BC54BF4">
                  <w:pPr>
                    <w:pStyle w:val="49"/>
                    <w:rPr>
                      <w:rFonts w:cs="Calibri"/>
                      <w:color w:val="auto"/>
                    </w:rPr>
                  </w:pPr>
                  <w:r>
                    <w:rPr>
                      <w:rFonts w:hint="eastAsia" w:cs="Calibri"/>
                      <w:color w:val="auto"/>
                    </w:rPr>
                    <w:t>TP</w:t>
                  </w:r>
                </w:p>
              </w:tc>
              <w:tc>
                <w:tcPr>
                  <w:tcW w:w="530" w:type="pct"/>
                  <w:vAlign w:val="center"/>
                </w:tcPr>
                <w:p w14:paraId="093D88B9">
                  <w:pPr>
                    <w:pStyle w:val="49"/>
                    <w:rPr>
                      <w:rFonts w:cs="Calibri"/>
                      <w:color w:val="auto"/>
                    </w:rPr>
                  </w:pPr>
                  <w:r>
                    <w:rPr>
                      <w:rFonts w:hint="eastAsia" w:cs="Calibri"/>
                      <w:color w:val="auto"/>
                    </w:rPr>
                    <w:t>石油类</w:t>
                  </w:r>
                </w:p>
              </w:tc>
              <w:tc>
                <w:tcPr>
                  <w:tcW w:w="565" w:type="pct"/>
                  <w:vAlign w:val="center"/>
                </w:tcPr>
                <w:p w14:paraId="7EA32A57">
                  <w:pPr>
                    <w:pStyle w:val="49"/>
                    <w:rPr>
                      <w:rFonts w:cs="Calibri"/>
                      <w:color w:val="auto"/>
                    </w:rPr>
                  </w:pPr>
                  <w:r>
                    <w:rPr>
                      <w:rFonts w:hint="eastAsia" w:cs="Calibri"/>
                      <w:color w:val="auto"/>
                    </w:rPr>
                    <w:t>总锑</w:t>
                  </w:r>
                </w:p>
              </w:tc>
            </w:tr>
            <w:tr w14:paraId="3391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 w:type="pct"/>
                  <w:vMerge w:val="restart"/>
                  <w:vAlign w:val="center"/>
                </w:tcPr>
                <w:p w14:paraId="17AB1BFE">
                  <w:pPr>
                    <w:pStyle w:val="51"/>
                    <w:bidi w:val="0"/>
                    <w:rPr>
                      <w:rFonts w:hint="default"/>
                      <w:color w:val="auto"/>
                      <w:lang w:val="en-US" w:eastAsia="zh-CN"/>
                    </w:rPr>
                  </w:pPr>
                  <w:r>
                    <w:rPr>
                      <w:rFonts w:hint="eastAsia"/>
                      <w:color w:val="auto"/>
                      <w:lang w:val="en-US" w:eastAsia="zh-CN"/>
                    </w:rPr>
                    <w:t>源佑项目</w:t>
                  </w:r>
                </w:p>
              </w:tc>
              <w:tc>
                <w:tcPr>
                  <w:tcW w:w="454" w:type="pct"/>
                  <w:vMerge w:val="restart"/>
                  <w:vAlign w:val="center"/>
                </w:tcPr>
                <w:p w14:paraId="7C26EA76">
                  <w:pPr>
                    <w:pStyle w:val="51"/>
                    <w:bidi w:val="0"/>
                    <w:rPr>
                      <w:rFonts w:hint="default"/>
                      <w:color w:val="auto"/>
                      <w:lang w:val="en-US" w:eastAsia="zh-CN"/>
                    </w:rPr>
                  </w:pPr>
                  <w:r>
                    <w:rPr>
                      <w:rFonts w:hint="eastAsia"/>
                      <w:color w:val="auto"/>
                      <w:lang w:val="en-US" w:eastAsia="zh-CN"/>
                    </w:rPr>
                    <w:t>2024.5.28</w:t>
                  </w:r>
                </w:p>
              </w:tc>
              <w:tc>
                <w:tcPr>
                  <w:tcW w:w="501" w:type="pct"/>
                  <w:vAlign w:val="center"/>
                </w:tcPr>
                <w:p w14:paraId="337FFD19">
                  <w:pPr>
                    <w:pStyle w:val="51"/>
                    <w:bidi w:val="0"/>
                    <w:rPr>
                      <w:color w:val="auto"/>
                    </w:rPr>
                  </w:pPr>
                  <w:r>
                    <w:rPr>
                      <w:rFonts w:hint="eastAsia"/>
                      <w:color w:val="auto"/>
                    </w:rPr>
                    <w:t>1</w:t>
                  </w:r>
                </w:p>
              </w:tc>
              <w:tc>
                <w:tcPr>
                  <w:tcW w:w="891" w:type="dxa"/>
                  <w:vAlign w:val="center"/>
                </w:tcPr>
                <w:p w14:paraId="3823BD40">
                  <w:pPr>
                    <w:pStyle w:val="51"/>
                    <w:bidi w:val="0"/>
                    <w:rPr>
                      <w:color w:val="auto"/>
                    </w:rPr>
                  </w:pPr>
                  <w:r>
                    <w:rPr>
                      <w:rFonts w:hint="default"/>
                      <w:color w:val="auto"/>
                      <w:lang w:val="en-US" w:eastAsia="zh-CN"/>
                    </w:rPr>
                    <w:t>422</w:t>
                  </w:r>
                </w:p>
              </w:tc>
              <w:tc>
                <w:tcPr>
                  <w:tcW w:w="891" w:type="dxa"/>
                  <w:vAlign w:val="center"/>
                </w:tcPr>
                <w:p w14:paraId="029FBA78">
                  <w:pPr>
                    <w:pStyle w:val="51"/>
                    <w:bidi w:val="0"/>
                    <w:rPr>
                      <w:color w:val="auto"/>
                    </w:rPr>
                  </w:pPr>
                  <w:r>
                    <w:rPr>
                      <w:rFonts w:hint="default"/>
                      <w:color w:val="auto"/>
                      <w:lang w:val="en-US" w:eastAsia="zh-CN"/>
                    </w:rPr>
                    <w:t>70</w:t>
                  </w:r>
                </w:p>
              </w:tc>
              <w:tc>
                <w:tcPr>
                  <w:tcW w:w="891" w:type="dxa"/>
                  <w:vAlign w:val="center"/>
                </w:tcPr>
                <w:p w14:paraId="4B24622A">
                  <w:pPr>
                    <w:pStyle w:val="51"/>
                    <w:bidi w:val="0"/>
                    <w:rPr>
                      <w:color w:val="auto"/>
                    </w:rPr>
                  </w:pPr>
                  <w:r>
                    <w:rPr>
                      <w:rFonts w:hint="default"/>
                      <w:color w:val="auto"/>
                      <w:lang w:val="en-US" w:eastAsia="zh-CN"/>
                    </w:rPr>
                    <w:t>9.96</w:t>
                  </w:r>
                </w:p>
              </w:tc>
              <w:tc>
                <w:tcPr>
                  <w:tcW w:w="891" w:type="dxa"/>
                  <w:vAlign w:val="center"/>
                </w:tcPr>
                <w:p w14:paraId="09D6BEC0">
                  <w:pPr>
                    <w:pStyle w:val="51"/>
                    <w:bidi w:val="0"/>
                    <w:rPr>
                      <w:color w:val="auto"/>
                    </w:rPr>
                  </w:pPr>
                  <w:r>
                    <w:rPr>
                      <w:rFonts w:hint="default"/>
                      <w:color w:val="auto"/>
                      <w:lang w:val="en-US" w:eastAsia="zh-CN"/>
                    </w:rPr>
                    <w:t>16.9</w:t>
                  </w:r>
                </w:p>
              </w:tc>
              <w:tc>
                <w:tcPr>
                  <w:tcW w:w="891" w:type="dxa"/>
                  <w:vAlign w:val="center"/>
                </w:tcPr>
                <w:p w14:paraId="7B53A26F">
                  <w:pPr>
                    <w:pStyle w:val="51"/>
                    <w:bidi w:val="0"/>
                    <w:rPr>
                      <w:color w:val="auto"/>
                    </w:rPr>
                  </w:pPr>
                  <w:r>
                    <w:rPr>
                      <w:rFonts w:hint="default"/>
                      <w:color w:val="auto"/>
                      <w:lang w:val="en-US" w:eastAsia="zh-CN"/>
                    </w:rPr>
                    <w:t>0.78</w:t>
                  </w:r>
                </w:p>
              </w:tc>
              <w:tc>
                <w:tcPr>
                  <w:tcW w:w="895" w:type="dxa"/>
                  <w:vAlign w:val="center"/>
                </w:tcPr>
                <w:p w14:paraId="7EE96EA6">
                  <w:pPr>
                    <w:pStyle w:val="51"/>
                    <w:bidi w:val="0"/>
                    <w:rPr>
                      <w:color w:val="auto"/>
                    </w:rPr>
                  </w:pPr>
                  <w:r>
                    <w:rPr>
                      <w:rFonts w:hint="default"/>
                      <w:color w:val="auto"/>
                      <w:lang w:val="en-US" w:eastAsia="zh-CN"/>
                    </w:rPr>
                    <w:t>3.52</w:t>
                  </w:r>
                </w:p>
              </w:tc>
              <w:tc>
                <w:tcPr>
                  <w:tcW w:w="953" w:type="dxa"/>
                  <w:vAlign w:val="center"/>
                </w:tcPr>
                <w:p w14:paraId="0CD55604">
                  <w:pPr>
                    <w:pStyle w:val="51"/>
                    <w:bidi w:val="0"/>
                    <w:rPr>
                      <w:rFonts w:hint="default"/>
                      <w:color w:val="auto"/>
                      <w:lang w:val="en-US" w:eastAsia="zh-CN"/>
                    </w:rPr>
                  </w:pPr>
                  <w:r>
                    <w:rPr>
                      <w:rFonts w:hint="default"/>
                      <w:color w:val="auto"/>
                      <w:lang w:val="en-US" w:eastAsia="zh-CN"/>
                    </w:rPr>
                    <w:t>0.0748</w:t>
                  </w:r>
                </w:p>
              </w:tc>
            </w:tr>
            <w:tr w14:paraId="5E8D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 w:type="pct"/>
                  <w:vMerge w:val="continue"/>
                  <w:vAlign w:val="center"/>
                </w:tcPr>
                <w:p w14:paraId="5C188BD6">
                  <w:pPr>
                    <w:pStyle w:val="51"/>
                    <w:bidi w:val="0"/>
                    <w:rPr>
                      <w:color w:val="auto"/>
                    </w:rPr>
                  </w:pPr>
                </w:p>
              </w:tc>
              <w:tc>
                <w:tcPr>
                  <w:tcW w:w="454" w:type="pct"/>
                  <w:vMerge w:val="continue"/>
                  <w:vAlign w:val="center"/>
                </w:tcPr>
                <w:p w14:paraId="55E9BA93">
                  <w:pPr>
                    <w:pStyle w:val="51"/>
                    <w:bidi w:val="0"/>
                    <w:rPr>
                      <w:color w:val="auto"/>
                    </w:rPr>
                  </w:pPr>
                </w:p>
              </w:tc>
              <w:tc>
                <w:tcPr>
                  <w:tcW w:w="501" w:type="pct"/>
                  <w:vAlign w:val="center"/>
                </w:tcPr>
                <w:p w14:paraId="6D960B80">
                  <w:pPr>
                    <w:pStyle w:val="51"/>
                    <w:bidi w:val="0"/>
                    <w:rPr>
                      <w:color w:val="auto"/>
                    </w:rPr>
                  </w:pPr>
                  <w:r>
                    <w:rPr>
                      <w:rFonts w:hint="eastAsia"/>
                      <w:color w:val="auto"/>
                    </w:rPr>
                    <w:t>2</w:t>
                  </w:r>
                </w:p>
              </w:tc>
              <w:tc>
                <w:tcPr>
                  <w:tcW w:w="891" w:type="dxa"/>
                  <w:vAlign w:val="center"/>
                </w:tcPr>
                <w:p w14:paraId="5884540E">
                  <w:pPr>
                    <w:pStyle w:val="51"/>
                    <w:bidi w:val="0"/>
                    <w:rPr>
                      <w:color w:val="auto"/>
                    </w:rPr>
                  </w:pPr>
                  <w:r>
                    <w:rPr>
                      <w:rFonts w:hint="default"/>
                      <w:color w:val="auto"/>
                      <w:lang w:val="en-US" w:eastAsia="zh-CN"/>
                    </w:rPr>
                    <w:t>428</w:t>
                  </w:r>
                </w:p>
              </w:tc>
              <w:tc>
                <w:tcPr>
                  <w:tcW w:w="891" w:type="dxa"/>
                  <w:vAlign w:val="center"/>
                </w:tcPr>
                <w:p w14:paraId="04EC5BC6">
                  <w:pPr>
                    <w:pStyle w:val="51"/>
                    <w:bidi w:val="0"/>
                    <w:rPr>
                      <w:color w:val="auto"/>
                    </w:rPr>
                  </w:pPr>
                  <w:r>
                    <w:rPr>
                      <w:rFonts w:hint="default"/>
                      <w:color w:val="auto"/>
                      <w:lang w:val="en-US" w:eastAsia="zh-CN"/>
                    </w:rPr>
                    <w:t>74</w:t>
                  </w:r>
                </w:p>
              </w:tc>
              <w:tc>
                <w:tcPr>
                  <w:tcW w:w="891" w:type="dxa"/>
                  <w:vAlign w:val="center"/>
                </w:tcPr>
                <w:p w14:paraId="2FD3115B">
                  <w:pPr>
                    <w:pStyle w:val="51"/>
                    <w:bidi w:val="0"/>
                    <w:rPr>
                      <w:color w:val="auto"/>
                    </w:rPr>
                  </w:pPr>
                  <w:r>
                    <w:rPr>
                      <w:rFonts w:hint="default"/>
                      <w:color w:val="auto"/>
                      <w:lang w:val="en-US" w:eastAsia="zh-CN"/>
                    </w:rPr>
                    <w:t>9.72</w:t>
                  </w:r>
                </w:p>
              </w:tc>
              <w:tc>
                <w:tcPr>
                  <w:tcW w:w="891" w:type="dxa"/>
                  <w:vAlign w:val="center"/>
                </w:tcPr>
                <w:p w14:paraId="0D337E15">
                  <w:pPr>
                    <w:pStyle w:val="51"/>
                    <w:bidi w:val="0"/>
                    <w:rPr>
                      <w:color w:val="auto"/>
                    </w:rPr>
                  </w:pPr>
                  <w:r>
                    <w:rPr>
                      <w:rFonts w:hint="default"/>
                      <w:color w:val="auto"/>
                      <w:lang w:val="en-US" w:eastAsia="zh-CN"/>
                    </w:rPr>
                    <w:t>18.8</w:t>
                  </w:r>
                </w:p>
              </w:tc>
              <w:tc>
                <w:tcPr>
                  <w:tcW w:w="891" w:type="dxa"/>
                  <w:vAlign w:val="center"/>
                </w:tcPr>
                <w:p w14:paraId="41EC85C7">
                  <w:pPr>
                    <w:pStyle w:val="51"/>
                    <w:bidi w:val="0"/>
                    <w:rPr>
                      <w:color w:val="auto"/>
                    </w:rPr>
                  </w:pPr>
                  <w:r>
                    <w:rPr>
                      <w:rFonts w:hint="default"/>
                      <w:color w:val="auto"/>
                      <w:lang w:val="en-US" w:eastAsia="zh-CN"/>
                    </w:rPr>
                    <w:t>0.64</w:t>
                  </w:r>
                </w:p>
              </w:tc>
              <w:tc>
                <w:tcPr>
                  <w:tcW w:w="895" w:type="dxa"/>
                  <w:vAlign w:val="center"/>
                </w:tcPr>
                <w:p w14:paraId="36F1BB4F">
                  <w:pPr>
                    <w:pStyle w:val="51"/>
                    <w:bidi w:val="0"/>
                    <w:rPr>
                      <w:color w:val="auto"/>
                    </w:rPr>
                  </w:pPr>
                  <w:r>
                    <w:rPr>
                      <w:rFonts w:hint="default"/>
                      <w:color w:val="auto"/>
                      <w:lang w:val="en-US" w:eastAsia="zh-CN"/>
                    </w:rPr>
                    <w:t>3.24</w:t>
                  </w:r>
                </w:p>
              </w:tc>
              <w:tc>
                <w:tcPr>
                  <w:tcW w:w="953" w:type="dxa"/>
                  <w:vAlign w:val="center"/>
                </w:tcPr>
                <w:p w14:paraId="59299ED0">
                  <w:pPr>
                    <w:pStyle w:val="51"/>
                    <w:bidi w:val="0"/>
                    <w:rPr>
                      <w:rFonts w:hint="default"/>
                      <w:color w:val="auto"/>
                      <w:lang w:val="en-US" w:eastAsia="zh-CN"/>
                    </w:rPr>
                  </w:pPr>
                  <w:r>
                    <w:rPr>
                      <w:rFonts w:hint="default"/>
                      <w:color w:val="auto"/>
                      <w:lang w:val="en-US" w:eastAsia="zh-CN"/>
                    </w:rPr>
                    <w:t>0.104</w:t>
                  </w:r>
                </w:p>
              </w:tc>
            </w:tr>
            <w:tr w14:paraId="2FC1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 w:type="pct"/>
                  <w:vMerge w:val="continue"/>
                  <w:vAlign w:val="center"/>
                </w:tcPr>
                <w:p w14:paraId="233514F3">
                  <w:pPr>
                    <w:pStyle w:val="51"/>
                    <w:bidi w:val="0"/>
                    <w:rPr>
                      <w:color w:val="auto"/>
                    </w:rPr>
                  </w:pPr>
                </w:p>
              </w:tc>
              <w:tc>
                <w:tcPr>
                  <w:tcW w:w="454" w:type="pct"/>
                  <w:vMerge w:val="continue"/>
                  <w:vAlign w:val="center"/>
                </w:tcPr>
                <w:p w14:paraId="0AEC705F">
                  <w:pPr>
                    <w:pStyle w:val="51"/>
                    <w:bidi w:val="0"/>
                    <w:rPr>
                      <w:color w:val="auto"/>
                    </w:rPr>
                  </w:pPr>
                </w:p>
              </w:tc>
              <w:tc>
                <w:tcPr>
                  <w:tcW w:w="501" w:type="pct"/>
                  <w:vAlign w:val="center"/>
                </w:tcPr>
                <w:p w14:paraId="7B2EAF8E">
                  <w:pPr>
                    <w:pStyle w:val="51"/>
                    <w:bidi w:val="0"/>
                    <w:rPr>
                      <w:color w:val="auto"/>
                    </w:rPr>
                  </w:pPr>
                  <w:r>
                    <w:rPr>
                      <w:rFonts w:hint="eastAsia"/>
                      <w:color w:val="auto"/>
                    </w:rPr>
                    <w:t>3</w:t>
                  </w:r>
                </w:p>
              </w:tc>
              <w:tc>
                <w:tcPr>
                  <w:tcW w:w="891" w:type="dxa"/>
                  <w:vAlign w:val="center"/>
                </w:tcPr>
                <w:p w14:paraId="617A1F11">
                  <w:pPr>
                    <w:pStyle w:val="51"/>
                    <w:bidi w:val="0"/>
                    <w:rPr>
                      <w:color w:val="auto"/>
                    </w:rPr>
                  </w:pPr>
                  <w:r>
                    <w:rPr>
                      <w:rFonts w:hint="default"/>
                      <w:color w:val="auto"/>
                      <w:lang w:val="en-US" w:eastAsia="zh-CN"/>
                    </w:rPr>
                    <w:t>418</w:t>
                  </w:r>
                </w:p>
              </w:tc>
              <w:tc>
                <w:tcPr>
                  <w:tcW w:w="891" w:type="dxa"/>
                  <w:vAlign w:val="center"/>
                </w:tcPr>
                <w:p w14:paraId="40C05981">
                  <w:pPr>
                    <w:pStyle w:val="51"/>
                    <w:bidi w:val="0"/>
                    <w:rPr>
                      <w:color w:val="auto"/>
                    </w:rPr>
                  </w:pPr>
                  <w:r>
                    <w:rPr>
                      <w:rFonts w:hint="default"/>
                      <w:color w:val="auto"/>
                      <w:lang w:val="en-US" w:eastAsia="zh-CN"/>
                    </w:rPr>
                    <w:t>76</w:t>
                  </w:r>
                </w:p>
              </w:tc>
              <w:tc>
                <w:tcPr>
                  <w:tcW w:w="891" w:type="dxa"/>
                  <w:vAlign w:val="center"/>
                </w:tcPr>
                <w:p w14:paraId="1C027117">
                  <w:pPr>
                    <w:pStyle w:val="51"/>
                    <w:bidi w:val="0"/>
                    <w:rPr>
                      <w:color w:val="auto"/>
                    </w:rPr>
                  </w:pPr>
                  <w:r>
                    <w:rPr>
                      <w:rFonts w:hint="default"/>
                      <w:color w:val="auto"/>
                      <w:lang w:val="en-US" w:eastAsia="zh-CN"/>
                    </w:rPr>
                    <w:t>10.2</w:t>
                  </w:r>
                </w:p>
              </w:tc>
              <w:tc>
                <w:tcPr>
                  <w:tcW w:w="891" w:type="dxa"/>
                  <w:vAlign w:val="center"/>
                </w:tcPr>
                <w:p w14:paraId="04B9F078">
                  <w:pPr>
                    <w:pStyle w:val="51"/>
                    <w:bidi w:val="0"/>
                    <w:rPr>
                      <w:color w:val="auto"/>
                    </w:rPr>
                  </w:pPr>
                  <w:r>
                    <w:rPr>
                      <w:rFonts w:hint="default"/>
                      <w:color w:val="auto"/>
                      <w:lang w:val="en-US" w:eastAsia="zh-CN"/>
                    </w:rPr>
                    <w:t>20.5</w:t>
                  </w:r>
                </w:p>
              </w:tc>
              <w:tc>
                <w:tcPr>
                  <w:tcW w:w="891" w:type="dxa"/>
                  <w:vAlign w:val="center"/>
                </w:tcPr>
                <w:p w14:paraId="127C5156">
                  <w:pPr>
                    <w:pStyle w:val="51"/>
                    <w:bidi w:val="0"/>
                    <w:rPr>
                      <w:color w:val="auto"/>
                    </w:rPr>
                  </w:pPr>
                  <w:r>
                    <w:rPr>
                      <w:rFonts w:hint="default"/>
                      <w:color w:val="auto"/>
                      <w:lang w:val="en-US" w:eastAsia="zh-CN"/>
                    </w:rPr>
                    <w:t>0.73</w:t>
                  </w:r>
                </w:p>
              </w:tc>
              <w:tc>
                <w:tcPr>
                  <w:tcW w:w="895" w:type="dxa"/>
                  <w:vAlign w:val="center"/>
                </w:tcPr>
                <w:p w14:paraId="2BD8771A">
                  <w:pPr>
                    <w:pStyle w:val="51"/>
                    <w:bidi w:val="0"/>
                    <w:rPr>
                      <w:color w:val="auto"/>
                    </w:rPr>
                  </w:pPr>
                  <w:r>
                    <w:rPr>
                      <w:rFonts w:hint="default"/>
                      <w:color w:val="auto"/>
                      <w:lang w:val="en-US" w:eastAsia="zh-CN"/>
                    </w:rPr>
                    <w:t>3.42</w:t>
                  </w:r>
                </w:p>
              </w:tc>
              <w:tc>
                <w:tcPr>
                  <w:tcW w:w="953" w:type="dxa"/>
                  <w:vAlign w:val="center"/>
                </w:tcPr>
                <w:p w14:paraId="58A24BFA">
                  <w:pPr>
                    <w:pStyle w:val="51"/>
                    <w:bidi w:val="0"/>
                    <w:rPr>
                      <w:rFonts w:hint="default"/>
                      <w:color w:val="auto"/>
                      <w:lang w:val="en-US" w:eastAsia="zh-CN"/>
                    </w:rPr>
                  </w:pPr>
                  <w:r>
                    <w:rPr>
                      <w:rFonts w:hint="default"/>
                      <w:color w:val="auto"/>
                      <w:lang w:val="en-US" w:eastAsia="zh-CN"/>
                    </w:rPr>
                    <w:t>0.139</w:t>
                  </w:r>
                </w:p>
              </w:tc>
            </w:tr>
            <w:tr w14:paraId="5DC6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 w:type="pct"/>
                  <w:vMerge w:val="continue"/>
                  <w:vAlign w:val="center"/>
                </w:tcPr>
                <w:p w14:paraId="71997696">
                  <w:pPr>
                    <w:pStyle w:val="51"/>
                    <w:bidi w:val="0"/>
                    <w:rPr>
                      <w:color w:val="auto"/>
                    </w:rPr>
                  </w:pPr>
                </w:p>
              </w:tc>
              <w:tc>
                <w:tcPr>
                  <w:tcW w:w="454" w:type="pct"/>
                  <w:vMerge w:val="continue"/>
                  <w:vAlign w:val="center"/>
                </w:tcPr>
                <w:p w14:paraId="4204994A">
                  <w:pPr>
                    <w:pStyle w:val="51"/>
                    <w:bidi w:val="0"/>
                    <w:rPr>
                      <w:color w:val="auto"/>
                    </w:rPr>
                  </w:pPr>
                </w:p>
              </w:tc>
              <w:tc>
                <w:tcPr>
                  <w:tcW w:w="501" w:type="pct"/>
                  <w:vAlign w:val="center"/>
                </w:tcPr>
                <w:p w14:paraId="0E14112C">
                  <w:pPr>
                    <w:pStyle w:val="51"/>
                    <w:bidi w:val="0"/>
                    <w:rPr>
                      <w:color w:val="auto"/>
                    </w:rPr>
                  </w:pPr>
                  <w:r>
                    <w:rPr>
                      <w:rFonts w:hint="eastAsia"/>
                      <w:color w:val="auto"/>
                    </w:rPr>
                    <w:t>4</w:t>
                  </w:r>
                </w:p>
              </w:tc>
              <w:tc>
                <w:tcPr>
                  <w:tcW w:w="891" w:type="dxa"/>
                  <w:vAlign w:val="center"/>
                </w:tcPr>
                <w:p w14:paraId="2D37DD7B">
                  <w:pPr>
                    <w:pStyle w:val="51"/>
                    <w:bidi w:val="0"/>
                    <w:rPr>
                      <w:color w:val="auto"/>
                    </w:rPr>
                  </w:pPr>
                  <w:r>
                    <w:rPr>
                      <w:rFonts w:hint="default"/>
                      <w:color w:val="auto"/>
                      <w:lang w:val="en-US" w:eastAsia="zh-CN"/>
                    </w:rPr>
                    <w:t>432</w:t>
                  </w:r>
                </w:p>
              </w:tc>
              <w:tc>
                <w:tcPr>
                  <w:tcW w:w="891" w:type="dxa"/>
                  <w:vAlign w:val="center"/>
                </w:tcPr>
                <w:p w14:paraId="15855566">
                  <w:pPr>
                    <w:pStyle w:val="51"/>
                    <w:bidi w:val="0"/>
                    <w:rPr>
                      <w:color w:val="auto"/>
                    </w:rPr>
                  </w:pPr>
                  <w:r>
                    <w:rPr>
                      <w:rFonts w:hint="default"/>
                      <w:color w:val="auto"/>
                      <w:lang w:val="en-US" w:eastAsia="zh-CN"/>
                    </w:rPr>
                    <w:t>72</w:t>
                  </w:r>
                </w:p>
              </w:tc>
              <w:tc>
                <w:tcPr>
                  <w:tcW w:w="891" w:type="dxa"/>
                  <w:vAlign w:val="center"/>
                </w:tcPr>
                <w:p w14:paraId="24A3DBAF">
                  <w:pPr>
                    <w:pStyle w:val="51"/>
                    <w:bidi w:val="0"/>
                    <w:rPr>
                      <w:color w:val="auto"/>
                    </w:rPr>
                  </w:pPr>
                  <w:r>
                    <w:rPr>
                      <w:rFonts w:hint="default"/>
                      <w:color w:val="auto"/>
                      <w:lang w:val="en-US" w:eastAsia="zh-CN"/>
                    </w:rPr>
                    <w:t>9.83</w:t>
                  </w:r>
                </w:p>
              </w:tc>
              <w:tc>
                <w:tcPr>
                  <w:tcW w:w="891" w:type="dxa"/>
                  <w:vAlign w:val="center"/>
                </w:tcPr>
                <w:p w14:paraId="0AF650CE">
                  <w:pPr>
                    <w:pStyle w:val="51"/>
                    <w:bidi w:val="0"/>
                    <w:rPr>
                      <w:color w:val="auto"/>
                    </w:rPr>
                  </w:pPr>
                  <w:r>
                    <w:rPr>
                      <w:rFonts w:hint="default"/>
                      <w:color w:val="auto"/>
                      <w:lang w:val="en-US" w:eastAsia="zh-CN"/>
                    </w:rPr>
                    <w:t>19.5</w:t>
                  </w:r>
                </w:p>
              </w:tc>
              <w:tc>
                <w:tcPr>
                  <w:tcW w:w="891" w:type="dxa"/>
                  <w:vAlign w:val="center"/>
                </w:tcPr>
                <w:p w14:paraId="7D0C0593">
                  <w:pPr>
                    <w:pStyle w:val="51"/>
                    <w:bidi w:val="0"/>
                    <w:rPr>
                      <w:color w:val="auto"/>
                    </w:rPr>
                  </w:pPr>
                  <w:r>
                    <w:rPr>
                      <w:rFonts w:hint="default"/>
                      <w:color w:val="auto"/>
                      <w:lang w:val="en-US" w:eastAsia="zh-CN"/>
                    </w:rPr>
                    <w:t>0.89</w:t>
                  </w:r>
                </w:p>
              </w:tc>
              <w:tc>
                <w:tcPr>
                  <w:tcW w:w="895" w:type="dxa"/>
                  <w:vAlign w:val="center"/>
                </w:tcPr>
                <w:p w14:paraId="2FEA4ECA">
                  <w:pPr>
                    <w:pStyle w:val="51"/>
                    <w:bidi w:val="0"/>
                    <w:rPr>
                      <w:color w:val="auto"/>
                    </w:rPr>
                  </w:pPr>
                  <w:r>
                    <w:rPr>
                      <w:rFonts w:hint="default"/>
                      <w:color w:val="auto"/>
                      <w:lang w:val="en-US" w:eastAsia="zh-CN"/>
                    </w:rPr>
                    <w:t>3.5</w:t>
                  </w:r>
                </w:p>
              </w:tc>
              <w:tc>
                <w:tcPr>
                  <w:tcW w:w="953" w:type="dxa"/>
                  <w:vAlign w:val="center"/>
                </w:tcPr>
                <w:p w14:paraId="5E511924">
                  <w:pPr>
                    <w:pStyle w:val="51"/>
                    <w:bidi w:val="0"/>
                    <w:rPr>
                      <w:rFonts w:hint="default"/>
                      <w:color w:val="auto"/>
                      <w:lang w:val="en-US" w:eastAsia="zh-CN"/>
                    </w:rPr>
                  </w:pPr>
                  <w:r>
                    <w:rPr>
                      <w:rFonts w:hint="default"/>
                      <w:color w:val="auto"/>
                      <w:lang w:val="en-US" w:eastAsia="zh-CN"/>
                    </w:rPr>
                    <w:t>0.12</w:t>
                  </w:r>
                </w:p>
              </w:tc>
            </w:tr>
            <w:tr w14:paraId="3FBA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 w:type="pct"/>
                  <w:vMerge w:val="continue"/>
                  <w:vAlign w:val="center"/>
                </w:tcPr>
                <w:p w14:paraId="2FC472DB">
                  <w:pPr>
                    <w:pStyle w:val="51"/>
                    <w:bidi w:val="0"/>
                    <w:rPr>
                      <w:color w:val="auto"/>
                    </w:rPr>
                  </w:pPr>
                </w:p>
              </w:tc>
              <w:tc>
                <w:tcPr>
                  <w:tcW w:w="454" w:type="pct"/>
                  <w:vMerge w:val="restart"/>
                  <w:vAlign w:val="center"/>
                </w:tcPr>
                <w:p w14:paraId="0862D048">
                  <w:pPr>
                    <w:pStyle w:val="51"/>
                    <w:bidi w:val="0"/>
                    <w:rPr>
                      <w:color w:val="auto"/>
                    </w:rPr>
                  </w:pPr>
                  <w:r>
                    <w:rPr>
                      <w:rFonts w:hint="eastAsia"/>
                      <w:color w:val="auto"/>
                      <w:lang w:val="en-US" w:eastAsia="zh-CN"/>
                    </w:rPr>
                    <w:t>2024.5.29</w:t>
                  </w:r>
                </w:p>
              </w:tc>
              <w:tc>
                <w:tcPr>
                  <w:tcW w:w="501" w:type="pct"/>
                  <w:vAlign w:val="center"/>
                </w:tcPr>
                <w:p w14:paraId="2A17FC5C">
                  <w:pPr>
                    <w:pStyle w:val="51"/>
                    <w:bidi w:val="0"/>
                    <w:rPr>
                      <w:color w:val="auto"/>
                    </w:rPr>
                  </w:pPr>
                  <w:r>
                    <w:rPr>
                      <w:rFonts w:hint="eastAsia"/>
                      <w:color w:val="auto"/>
                    </w:rPr>
                    <w:t>1</w:t>
                  </w:r>
                </w:p>
              </w:tc>
              <w:tc>
                <w:tcPr>
                  <w:tcW w:w="891" w:type="dxa"/>
                  <w:vAlign w:val="center"/>
                </w:tcPr>
                <w:p w14:paraId="4C88867C">
                  <w:pPr>
                    <w:pStyle w:val="51"/>
                    <w:bidi w:val="0"/>
                    <w:rPr>
                      <w:color w:val="auto"/>
                    </w:rPr>
                  </w:pPr>
                  <w:r>
                    <w:rPr>
                      <w:rFonts w:hint="default"/>
                      <w:color w:val="auto"/>
                      <w:lang w:val="en-US" w:eastAsia="zh-CN"/>
                    </w:rPr>
                    <w:t>432</w:t>
                  </w:r>
                </w:p>
              </w:tc>
              <w:tc>
                <w:tcPr>
                  <w:tcW w:w="891" w:type="dxa"/>
                  <w:vAlign w:val="center"/>
                </w:tcPr>
                <w:p w14:paraId="476EFF95">
                  <w:pPr>
                    <w:pStyle w:val="51"/>
                    <w:bidi w:val="0"/>
                    <w:rPr>
                      <w:color w:val="auto"/>
                    </w:rPr>
                  </w:pPr>
                  <w:r>
                    <w:rPr>
                      <w:rFonts w:hint="default"/>
                      <w:color w:val="auto"/>
                      <w:lang w:val="en-US" w:eastAsia="zh-CN"/>
                    </w:rPr>
                    <w:t>75</w:t>
                  </w:r>
                </w:p>
              </w:tc>
              <w:tc>
                <w:tcPr>
                  <w:tcW w:w="891" w:type="dxa"/>
                  <w:vAlign w:val="center"/>
                </w:tcPr>
                <w:p w14:paraId="0E984114">
                  <w:pPr>
                    <w:pStyle w:val="51"/>
                    <w:bidi w:val="0"/>
                    <w:rPr>
                      <w:color w:val="auto"/>
                    </w:rPr>
                  </w:pPr>
                  <w:r>
                    <w:rPr>
                      <w:rFonts w:hint="default"/>
                      <w:color w:val="auto"/>
                      <w:lang w:val="en-US" w:eastAsia="zh-CN"/>
                    </w:rPr>
                    <w:t>9.76</w:t>
                  </w:r>
                </w:p>
              </w:tc>
              <w:tc>
                <w:tcPr>
                  <w:tcW w:w="891" w:type="dxa"/>
                  <w:vAlign w:val="center"/>
                </w:tcPr>
                <w:p w14:paraId="01946F72">
                  <w:pPr>
                    <w:pStyle w:val="51"/>
                    <w:bidi w:val="0"/>
                    <w:rPr>
                      <w:color w:val="auto"/>
                    </w:rPr>
                  </w:pPr>
                  <w:r>
                    <w:rPr>
                      <w:rFonts w:hint="default"/>
                      <w:color w:val="auto"/>
                      <w:lang w:val="en-US" w:eastAsia="zh-CN"/>
                    </w:rPr>
                    <w:t>17.3</w:t>
                  </w:r>
                </w:p>
              </w:tc>
              <w:tc>
                <w:tcPr>
                  <w:tcW w:w="891" w:type="dxa"/>
                  <w:vAlign w:val="center"/>
                </w:tcPr>
                <w:p w14:paraId="29F45D53">
                  <w:pPr>
                    <w:pStyle w:val="51"/>
                    <w:bidi w:val="0"/>
                    <w:rPr>
                      <w:color w:val="auto"/>
                    </w:rPr>
                  </w:pPr>
                  <w:r>
                    <w:rPr>
                      <w:rFonts w:hint="default"/>
                      <w:color w:val="auto"/>
                      <w:lang w:val="en-US" w:eastAsia="zh-CN"/>
                    </w:rPr>
                    <w:t>0.7</w:t>
                  </w:r>
                </w:p>
              </w:tc>
              <w:tc>
                <w:tcPr>
                  <w:tcW w:w="895" w:type="dxa"/>
                  <w:vAlign w:val="center"/>
                </w:tcPr>
                <w:p w14:paraId="06AE2223">
                  <w:pPr>
                    <w:pStyle w:val="51"/>
                    <w:bidi w:val="0"/>
                    <w:rPr>
                      <w:color w:val="auto"/>
                    </w:rPr>
                  </w:pPr>
                  <w:r>
                    <w:rPr>
                      <w:rFonts w:hint="default"/>
                      <w:color w:val="auto"/>
                      <w:lang w:val="en-US" w:eastAsia="zh-CN"/>
                    </w:rPr>
                    <w:t>3.64</w:t>
                  </w:r>
                </w:p>
              </w:tc>
              <w:tc>
                <w:tcPr>
                  <w:tcW w:w="953" w:type="dxa"/>
                  <w:vAlign w:val="center"/>
                </w:tcPr>
                <w:p w14:paraId="5B263A2B">
                  <w:pPr>
                    <w:pStyle w:val="51"/>
                    <w:bidi w:val="0"/>
                    <w:rPr>
                      <w:rFonts w:hint="default"/>
                      <w:color w:val="auto"/>
                      <w:lang w:val="en-US" w:eastAsia="zh-CN"/>
                    </w:rPr>
                  </w:pPr>
                  <w:r>
                    <w:rPr>
                      <w:rFonts w:hint="default"/>
                      <w:color w:val="auto"/>
                      <w:lang w:val="en-US" w:eastAsia="zh-CN"/>
                    </w:rPr>
                    <w:t>0.0927</w:t>
                  </w:r>
                </w:p>
              </w:tc>
            </w:tr>
            <w:tr w14:paraId="4EA7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 w:type="pct"/>
                  <w:vMerge w:val="continue"/>
                  <w:vAlign w:val="center"/>
                </w:tcPr>
                <w:p w14:paraId="4968FD9E">
                  <w:pPr>
                    <w:pStyle w:val="51"/>
                    <w:bidi w:val="0"/>
                    <w:rPr>
                      <w:color w:val="auto"/>
                    </w:rPr>
                  </w:pPr>
                </w:p>
              </w:tc>
              <w:tc>
                <w:tcPr>
                  <w:tcW w:w="454" w:type="pct"/>
                  <w:vMerge w:val="continue"/>
                  <w:vAlign w:val="center"/>
                </w:tcPr>
                <w:p w14:paraId="65BDB602">
                  <w:pPr>
                    <w:pStyle w:val="51"/>
                    <w:bidi w:val="0"/>
                    <w:rPr>
                      <w:color w:val="auto"/>
                    </w:rPr>
                  </w:pPr>
                </w:p>
              </w:tc>
              <w:tc>
                <w:tcPr>
                  <w:tcW w:w="501" w:type="pct"/>
                  <w:vAlign w:val="center"/>
                </w:tcPr>
                <w:p w14:paraId="7A3C6397">
                  <w:pPr>
                    <w:pStyle w:val="51"/>
                    <w:bidi w:val="0"/>
                    <w:rPr>
                      <w:color w:val="auto"/>
                    </w:rPr>
                  </w:pPr>
                  <w:r>
                    <w:rPr>
                      <w:rFonts w:hint="eastAsia"/>
                      <w:color w:val="auto"/>
                    </w:rPr>
                    <w:t>2</w:t>
                  </w:r>
                </w:p>
              </w:tc>
              <w:tc>
                <w:tcPr>
                  <w:tcW w:w="891" w:type="dxa"/>
                  <w:vAlign w:val="center"/>
                </w:tcPr>
                <w:p w14:paraId="016449E8">
                  <w:pPr>
                    <w:pStyle w:val="51"/>
                    <w:bidi w:val="0"/>
                    <w:rPr>
                      <w:color w:val="auto"/>
                    </w:rPr>
                  </w:pPr>
                  <w:r>
                    <w:rPr>
                      <w:rFonts w:hint="default"/>
                      <w:color w:val="auto"/>
                      <w:lang w:val="en-US" w:eastAsia="zh-CN"/>
                    </w:rPr>
                    <w:t>427</w:t>
                  </w:r>
                </w:p>
              </w:tc>
              <w:tc>
                <w:tcPr>
                  <w:tcW w:w="891" w:type="dxa"/>
                  <w:vAlign w:val="center"/>
                </w:tcPr>
                <w:p w14:paraId="08AA4E6A">
                  <w:pPr>
                    <w:pStyle w:val="51"/>
                    <w:bidi w:val="0"/>
                    <w:rPr>
                      <w:color w:val="auto"/>
                    </w:rPr>
                  </w:pPr>
                  <w:r>
                    <w:rPr>
                      <w:rFonts w:hint="default"/>
                      <w:color w:val="auto"/>
                      <w:lang w:val="en-US" w:eastAsia="zh-CN"/>
                    </w:rPr>
                    <w:t>79</w:t>
                  </w:r>
                </w:p>
              </w:tc>
              <w:tc>
                <w:tcPr>
                  <w:tcW w:w="891" w:type="dxa"/>
                  <w:vAlign w:val="center"/>
                </w:tcPr>
                <w:p w14:paraId="75F58A69">
                  <w:pPr>
                    <w:pStyle w:val="51"/>
                    <w:bidi w:val="0"/>
                    <w:rPr>
                      <w:color w:val="auto"/>
                    </w:rPr>
                  </w:pPr>
                  <w:r>
                    <w:rPr>
                      <w:rFonts w:hint="default"/>
                      <w:color w:val="auto"/>
                      <w:lang w:val="en-US" w:eastAsia="zh-CN"/>
                    </w:rPr>
                    <w:t>9.68</w:t>
                  </w:r>
                </w:p>
              </w:tc>
              <w:tc>
                <w:tcPr>
                  <w:tcW w:w="891" w:type="dxa"/>
                  <w:vAlign w:val="center"/>
                </w:tcPr>
                <w:p w14:paraId="0019FE9D">
                  <w:pPr>
                    <w:pStyle w:val="51"/>
                    <w:bidi w:val="0"/>
                    <w:rPr>
                      <w:color w:val="auto"/>
                    </w:rPr>
                  </w:pPr>
                  <w:r>
                    <w:rPr>
                      <w:rFonts w:hint="default"/>
                      <w:color w:val="auto"/>
                      <w:lang w:val="en-US" w:eastAsia="zh-CN"/>
                    </w:rPr>
                    <w:t>19</w:t>
                  </w:r>
                </w:p>
              </w:tc>
              <w:tc>
                <w:tcPr>
                  <w:tcW w:w="891" w:type="dxa"/>
                  <w:vAlign w:val="center"/>
                </w:tcPr>
                <w:p w14:paraId="78E8B563">
                  <w:pPr>
                    <w:pStyle w:val="51"/>
                    <w:bidi w:val="0"/>
                    <w:rPr>
                      <w:color w:val="auto"/>
                    </w:rPr>
                  </w:pPr>
                  <w:r>
                    <w:rPr>
                      <w:rFonts w:hint="default"/>
                      <w:color w:val="auto"/>
                      <w:lang w:val="en-US" w:eastAsia="zh-CN"/>
                    </w:rPr>
                    <w:t>0.74</w:t>
                  </w:r>
                </w:p>
              </w:tc>
              <w:tc>
                <w:tcPr>
                  <w:tcW w:w="895" w:type="dxa"/>
                  <w:vAlign w:val="center"/>
                </w:tcPr>
                <w:p w14:paraId="165293C3">
                  <w:pPr>
                    <w:pStyle w:val="51"/>
                    <w:bidi w:val="0"/>
                    <w:rPr>
                      <w:color w:val="auto"/>
                    </w:rPr>
                  </w:pPr>
                  <w:r>
                    <w:rPr>
                      <w:rFonts w:hint="default"/>
                      <w:color w:val="auto"/>
                      <w:lang w:val="en-US" w:eastAsia="zh-CN"/>
                    </w:rPr>
                    <w:t>3.36</w:t>
                  </w:r>
                </w:p>
              </w:tc>
              <w:tc>
                <w:tcPr>
                  <w:tcW w:w="953" w:type="dxa"/>
                  <w:vAlign w:val="center"/>
                </w:tcPr>
                <w:p w14:paraId="437FE7B9">
                  <w:pPr>
                    <w:pStyle w:val="51"/>
                    <w:bidi w:val="0"/>
                    <w:rPr>
                      <w:color w:val="auto"/>
                    </w:rPr>
                  </w:pPr>
                  <w:r>
                    <w:rPr>
                      <w:rFonts w:hint="default"/>
                      <w:color w:val="auto"/>
                      <w:lang w:val="en-US" w:eastAsia="zh-CN"/>
                    </w:rPr>
                    <w:t>0.0822</w:t>
                  </w:r>
                </w:p>
              </w:tc>
            </w:tr>
            <w:tr w14:paraId="3158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 w:type="pct"/>
                  <w:vMerge w:val="continue"/>
                  <w:vAlign w:val="center"/>
                </w:tcPr>
                <w:p w14:paraId="1D7C43C3">
                  <w:pPr>
                    <w:pStyle w:val="51"/>
                    <w:bidi w:val="0"/>
                    <w:rPr>
                      <w:color w:val="auto"/>
                    </w:rPr>
                  </w:pPr>
                </w:p>
              </w:tc>
              <w:tc>
                <w:tcPr>
                  <w:tcW w:w="454" w:type="pct"/>
                  <w:vMerge w:val="continue"/>
                  <w:vAlign w:val="center"/>
                </w:tcPr>
                <w:p w14:paraId="2DA795EA">
                  <w:pPr>
                    <w:pStyle w:val="51"/>
                    <w:bidi w:val="0"/>
                    <w:rPr>
                      <w:color w:val="auto"/>
                    </w:rPr>
                  </w:pPr>
                </w:p>
              </w:tc>
              <w:tc>
                <w:tcPr>
                  <w:tcW w:w="501" w:type="pct"/>
                  <w:vAlign w:val="center"/>
                </w:tcPr>
                <w:p w14:paraId="4A362BD0">
                  <w:pPr>
                    <w:pStyle w:val="51"/>
                    <w:bidi w:val="0"/>
                    <w:rPr>
                      <w:color w:val="auto"/>
                    </w:rPr>
                  </w:pPr>
                  <w:r>
                    <w:rPr>
                      <w:rFonts w:hint="eastAsia"/>
                      <w:color w:val="auto"/>
                    </w:rPr>
                    <w:t>3</w:t>
                  </w:r>
                </w:p>
              </w:tc>
              <w:tc>
                <w:tcPr>
                  <w:tcW w:w="891" w:type="dxa"/>
                  <w:vAlign w:val="center"/>
                </w:tcPr>
                <w:p w14:paraId="06F2AE2B">
                  <w:pPr>
                    <w:pStyle w:val="51"/>
                    <w:bidi w:val="0"/>
                    <w:rPr>
                      <w:color w:val="auto"/>
                    </w:rPr>
                  </w:pPr>
                  <w:r>
                    <w:rPr>
                      <w:rFonts w:hint="default"/>
                      <w:color w:val="auto"/>
                      <w:lang w:val="en-US" w:eastAsia="zh-CN"/>
                    </w:rPr>
                    <w:t>423</w:t>
                  </w:r>
                </w:p>
              </w:tc>
              <w:tc>
                <w:tcPr>
                  <w:tcW w:w="891" w:type="dxa"/>
                  <w:vAlign w:val="center"/>
                </w:tcPr>
                <w:p w14:paraId="53C05A41">
                  <w:pPr>
                    <w:pStyle w:val="51"/>
                    <w:bidi w:val="0"/>
                    <w:rPr>
                      <w:color w:val="auto"/>
                    </w:rPr>
                  </w:pPr>
                  <w:r>
                    <w:rPr>
                      <w:rFonts w:hint="default"/>
                      <w:color w:val="auto"/>
                      <w:lang w:val="en-US" w:eastAsia="zh-CN"/>
                    </w:rPr>
                    <w:t>80</w:t>
                  </w:r>
                </w:p>
              </w:tc>
              <w:tc>
                <w:tcPr>
                  <w:tcW w:w="891" w:type="dxa"/>
                  <w:vAlign w:val="center"/>
                </w:tcPr>
                <w:p w14:paraId="4B3B105A">
                  <w:pPr>
                    <w:pStyle w:val="51"/>
                    <w:bidi w:val="0"/>
                    <w:rPr>
                      <w:color w:val="auto"/>
                    </w:rPr>
                  </w:pPr>
                  <w:r>
                    <w:rPr>
                      <w:rFonts w:hint="default"/>
                      <w:color w:val="auto"/>
                      <w:lang w:val="en-US" w:eastAsia="zh-CN"/>
                    </w:rPr>
                    <w:t>9.9</w:t>
                  </w:r>
                </w:p>
              </w:tc>
              <w:tc>
                <w:tcPr>
                  <w:tcW w:w="891" w:type="dxa"/>
                  <w:vAlign w:val="center"/>
                </w:tcPr>
                <w:p w14:paraId="07B36CC9">
                  <w:pPr>
                    <w:pStyle w:val="51"/>
                    <w:bidi w:val="0"/>
                    <w:rPr>
                      <w:color w:val="auto"/>
                    </w:rPr>
                  </w:pPr>
                  <w:r>
                    <w:rPr>
                      <w:rFonts w:hint="default"/>
                      <w:color w:val="auto"/>
                      <w:lang w:val="en-US" w:eastAsia="zh-CN"/>
                    </w:rPr>
                    <w:t>21.1</w:t>
                  </w:r>
                </w:p>
              </w:tc>
              <w:tc>
                <w:tcPr>
                  <w:tcW w:w="891" w:type="dxa"/>
                  <w:vAlign w:val="center"/>
                </w:tcPr>
                <w:p w14:paraId="51A6E6A8">
                  <w:pPr>
                    <w:pStyle w:val="51"/>
                    <w:bidi w:val="0"/>
                    <w:rPr>
                      <w:color w:val="auto"/>
                    </w:rPr>
                  </w:pPr>
                  <w:r>
                    <w:rPr>
                      <w:rFonts w:hint="default"/>
                      <w:color w:val="auto"/>
                      <w:lang w:val="en-US" w:eastAsia="zh-CN"/>
                    </w:rPr>
                    <w:t>0.72</w:t>
                  </w:r>
                </w:p>
              </w:tc>
              <w:tc>
                <w:tcPr>
                  <w:tcW w:w="895" w:type="dxa"/>
                  <w:vAlign w:val="center"/>
                </w:tcPr>
                <w:p w14:paraId="6836B94A">
                  <w:pPr>
                    <w:pStyle w:val="51"/>
                    <w:bidi w:val="0"/>
                    <w:rPr>
                      <w:color w:val="auto"/>
                    </w:rPr>
                  </w:pPr>
                  <w:r>
                    <w:rPr>
                      <w:rFonts w:hint="default"/>
                      <w:color w:val="auto"/>
                      <w:lang w:val="en-US" w:eastAsia="zh-CN"/>
                    </w:rPr>
                    <w:t>3.64</w:t>
                  </w:r>
                </w:p>
              </w:tc>
              <w:tc>
                <w:tcPr>
                  <w:tcW w:w="953" w:type="dxa"/>
                  <w:vAlign w:val="center"/>
                </w:tcPr>
                <w:p w14:paraId="5C52ECE5">
                  <w:pPr>
                    <w:pStyle w:val="51"/>
                    <w:bidi w:val="0"/>
                    <w:rPr>
                      <w:color w:val="auto"/>
                    </w:rPr>
                  </w:pPr>
                  <w:r>
                    <w:rPr>
                      <w:rFonts w:hint="default"/>
                      <w:color w:val="auto"/>
                      <w:lang w:val="en-US" w:eastAsia="zh-CN"/>
                    </w:rPr>
                    <w:t>0.156</w:t>
                  </w:r>
                </w:p>
              </w:tc>
            </w:tr>
            <w:tr w14:paraId="7844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 w:type="pct"/>
                  <w:vMerge w:val="continue"/>
                  <w:vAlign w:val="center"/>
                </w:tcPr>
                <w:p w14:paraId="41FEC75A">
                  <w:pPr>
                    <w:pStyle w:val="51"/>
                    <w:bidi w:val="0"/>
                    <w:rPr>
                      <w:color w:val="auto"/>
                    </w:rPr>
                  </w:pPr>
                </w:p>
              </w:tc>
              <w:tc>
                <w:tcPr>
                  <w:tcW w:w="454" w:type="pct"/>
                  <w:vMerge w:val="continue"/>
                  <w:vAlign w:val="center"/>
                </w:tcPr>
                <w:p w14:paraId="0FD4C711">
                  <w:pPr>
                    <w:pStyle w:val="51"/>
                    <w:bidi w:val="0"/>
                    <w:rPr>
                      <w:color w:val="auto"/>
                    </w:rPr>
                  </w:pPr>
                </w:p>
              </w:tc>
              <w:tc>
                <w:tcPr>
                  <w:tcW w:w="501" w:type="pct"/>
                  <w:vAlign w:val="center"/>
                </w:tcPr>
                <w:p w14:paraId="1DFEC361">
                  <w:pPr>
                    <w:pStyle w:val="51"/>
                    <w:bidi w:val="0"/>
                    <w:rPr>
                      <w:color w:val="auto"/>
                    </w:rPr>
                  </w:pPr>
                  <w:r>
                    <w:rPr>
                      <w:rFonts w:hint="eastAsia"/>
                      <w:color w:val="auto"/>
                    </w:rPr>
                    <w:t>4</w:t>
                  </w:r>
                </w:p>
              </w:tc>
              <w:tc>
                <w:tcPr>
                  <w:tcW w:w="891" w:type="dxa"/>
                  <w:vAlign w:val="center"/>
                </w:tcPr>
                <w:p w14:paraId="56E96EA5">
                  <w:pPr>
                    <w:pStyle w:val="51"/>
                    <w:bidi w:val="0"/>
                    <w:rPr>
                      <w:color w:val="auto"/>
                    </w:rPr>
                  </w:pPr>
                  <w:r>
                    <w:rPr>
                      <w:rFonts w:hint="default"/>
                      <w:color w:val="auto"/>
                      <w:lang w:val="en-US" w:eastAsia="zh-CN"/>
                    </w:rPr>
                    <w:t>421</w:t>
                  </w:r>
                </w:p>
              </w:tc>
              <w:tc>
                <w:tcPr>
                  <w:tcW w:w="891" w:type="dxa"/>
                  <w:vAlign w:val="center"/>
                </w:tcPr>
                <w:p w14:paraId="7C7CC1F5">
                  <w:pPr>
                    <w:pStyle w:val="51"/>
                    <w:bidi w:val="0"/>
                    <w:rPr>
                      <w:color w:val="auto"/>
                    </w:rPr>
                  </w:pPr>
                  <w:r>
                    <w:rPr>
                      <w:rFonts w:hint="default"/>
                      <w:color w:val="auto"/>
                      <w:lang w:val="en-US" w:eastAsia="zh-CN"/>
                    </w:rPr>
                    <w:t>71</w:t>
                  </w:r>
                </w:p>
              </w:tc>
              <w:tc>
                <w:tcPr>
                  <w:tcW w:w="891" w:type="dxa"/>
                  <w:vAlign w:val="center"/>
                </w:tcPr>
                <w:p w14:paraId="7F0D7EDD">
                  <w:pPr>
                    <w:pStyle w:val="51"/>
                    <w:bidi w:val="0"/>
                    <w:rPr>
                      <w:color w:val="auto"/>
                    </w:rPr>
                  </w:pPr>
                  <w:r>
                    <w:rPr>
                      <w:rFonts w:hint="default"/>
                      <w:color w:val="auto"/>
                      <w:lang w:val="en-US" w:eastAsia="zh-CN"/>
                    </w:rPr>
                    <w:t>9.5</w:t>
                  </w:r>
                </w:p>
              </w:tc>
              <w:tc>
                <w:tcPr>
                  <w:tcW w:w="891" w:type="dxa"/>
                  <w:vAlign w:val="center"/>
                </w:tcPr>
                <w:p w14:paraId="7EBDD5A0">
                  <w:pPr>
                    <w:pStyle w:val="51"/>
                    <w:bidi w:val="0"/>
                    <w:rPr>
                      <w:color w:val="auto"/>
                    </w:rPr>
                  </w:pPr>
                  <w:r>
                    <w:rPr>
                      <w:rFonts w:hint="default"/>
                      <w:color w:val="auto"/>
                      <w:lang w:val="en-US" w:eastAsia="zh-CN"/>
                    </w:rPr>
                    <w:t>17.8</w:t>
                  </w:r>
                </w:p>
              </w:tc>
              <w:tc>
                <w:tcPr>
                  <w:tcW w:w="891" w:type="dxa"/>
                  <w:vAlign w:val="center"/>
                </w:tcPr>
                <w:p w14:paraId="4A717A3C">
                  <w:pPr>
                    <w:pStyle w:val="51"/>
                    <w:bidi w:val="0"/>
                    <w:rPr>
                      <w:color w:val="auto"/>
                    </w:rPr>
                  </w:pPr>
                  <w:r>
                    <w:rPr>
                      <w:rFonts w:hint="default"/>
                      <w:color w:val="auto"/>
                      <w:lang w:val="en-US" w:eastAsia="zh-CN"/>
                    </w:rPr>
                    <w:t>0.82</w:t>
                  </w:r>
                </w:p>
              </w:tc>
              <w:tc>
                <w:tcPr>
                  <w:tcW w:w="895" w:type="dxa"/>
                  <w:vAlign w:val="center"/>
                </w:tcPr>
                <w:p w14:paraId="434A13D3">
                  <w:pPr>
                    <w:pStyle w:val="51"/>
                    <w:bidi w:val="0"/>
                    <w:rPr>
                      <w:color w:val="auto"/>
                    </w:rPr>
                  </w:pPr>
                  <w:r>
                    <w:rPr>
                      <w:rFonts w:hint="default"/>
                      <w:color w:val="auto"/>
                      <w:lang w:val="en-US" w:eastAsia="zh-CN"/>
                    </w:rPr>
                    <w:t>3.52</w:t>
                  </w:r>
                </w:p>
              </w:tc>
              <w:tc>
                <w:tcPr>
                  <w:tcW w:w="953" w:type="dxa"/>
                  <w:vAlign w:val="center"/>
                </w:tcPr>
                <w:p w14:paraId="7213B4E2">
                  <w:pPr>
                    <w:pStyle w:val="51"/>
                    <w:bidi w:val="0"/>
                    <w:rPr>
                      <w:color w:val="auto"/>
                    </w:rPr>
                  </w:pPr>
                  <w:r>
                    <w:rPr>
                      <w:rFonts w:hint="default"/>
                      <w:color w:val="auto"/>
                      <w:lang w:val="en-US" w:eastAsia="zh-CN"/>
                    </w:rPr>
                    <w:t>0.17</w:t>
                  </w:r>
                </w:p>
              </w:tc>
            </w:tr>
            <w:tr w14:paraId="30BD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pct"/>
                  <w:gridSpan w:val="3"/>
                  <w:vAlign w:val="center"/>
                </w:tcPr>
                <w:p w14:paraId="7658CD12">
                  <w:pPr>
                    <w:pStyle w:val="51"/>
                    <w:bidi w:val="0"/>
                    <w:rPr>
                      <w:color w:val="auto"/>
                    </w:rPr>
                  </w:pPr>
                  <w:r>
                    <w:rPr>
                      <w:rFonts w:hint="eastAsia"/>
                      <w:color w:val="auto"/>
                    </w:rPr>
                    <w:t>均值</w:t>
                  </w:r>
                </w:p>
              </w:tc>
              <w:tc>
                <w:tcPr>
                  <w:tcW w:w="528" w:type="pct"/>
                  <w:shd w:val="clear" w:color="auto" w:fill="auto"/>
                  <w:vAlign w:val="center"/>
                </w:tcPr>
                <w:p w14:paraId="243A1CAF">
                  <w:pPr>
                    <w:pStyle w:val="51"/>
                    <w:bidi w:val="0"/>
                    <w:rPr>
                      <w:rFonts w:hint="default"/>
                      <w:color w:val="auto"/>
                      <w:lang w:val="en-US" w:eastAsia="zh-CN"/>
                    </w:rPr>
                  </w:pPr>
                  <w:r>
                    <w:rPr>
                      <w:rFonts w:hint="default"/>
                      <w:color w:val="auto"/>
                      <w:lang w:val="en-US" w:eastAsia="zh-CN"/>
                    </w:rPr>
                    <w:t xml:space="preserve">425.38 </w:t>
                  </w:r>
                </w:p>
              </w:tc>
              <w:tc>
                <w:tcPr>
                  <w:tcW w:w="528" w:type="pct"/>
                  <w:vAlign w:val="center"/>
                </w:tcPr>
                <w:p w14:paraId="2553D210">
                  <w:pPr>
                    <w:pStyle w:val="51"/>
                    <w:bidi w:val="0"/>
                    <w:rPr>
                      <w:color w:val="auto"/>
                    </w:rPr>
                  </w:pPr>
                  <w:r>
                    <w:rPr>
                      <w:rFonts w:hint="default"/>
                      <w:color w:val="auto"/>
                      <w:lang w:val="en-US" w:eastAsia="zh-CN"/>
                    </w:rPr>
                    <w:t xml:space="preserve">74.63 </w:t>
                  </w:r>
                </w:p>
              </w:tc>
              <w:tc>
                <w:tcPr>
                  <w:tcW w:w="528" w:type="pct"/>
                  <w:vAlign w:val="center"/>
                </w:tcPr>
                <w:p w14:paraId="53C0E22B">
                  <w:pPr>
                    <w:pStyle w:val="51"/>
                    <w:bidi w:val="0"/>
                    <w:rPr>
                      <w:color w:val="auto"/>
                    </w:rPr>
                  </w:pPr>
                  <w:r>
                    <w:rPr>
                      <w:rFonts w:hint="default"/>
                      <w:color w:val="auto"/>
                      <w:lang w:val="en-US" w:eastAsia="zh-CN"/>
                    </w:rPr>
                    <w:t xml:space="preserve">9.82 </w:t>
                  </w:r>
                </w:p>
              </w:tc>
              <w:tc>
                <w:tcPr>
                  <w:tcW w:w="528" w:type="pct"/>
                  <w:vAlign w:val="center"/>
                </w:tcPr>
                <w:p w14:paraId="55B1D1CF">
                  <w:pPr>
                    <w:pStyle w:val="51"/>
                    <w:bidi w:val="0"/>
                    <w:rPr>
                      <w:color w:val="auto"/>
                    </w:rPr>
                  </w:pPr>
                  <w:r>
                    <w:rPr>
                      <w:rFonts w:hint="default"/>
                      <w:color w:val="auto"/>
                      <w:lang w:val="en-US" w:eastAsia="zh-CN"/>
                    </w:rPr>
                    <w:t xml:space="preserve">18.86 </w:t>
                  </w:r>
                </w:p>
              </w:tc>
              <w:tc>
                <w:tcPr>
                  <w:tcW w:w="528" w:type="pct"/>
                  <w:vAlign w:val="center"/>
                </w:tcPr>
                <w:p w14:paraId="7A057875">
                  <w:pPr>
                    <w:pStyle w:val="51"/>
                    <w:bidi w:val="0"/>
                    <w:rPr>
                      <w:color w:val="auto"/>
                    </w:rPr>
                  </w:pPr>
                  <w:r>
                    <w:rPr>
                      <w:rFonts w:hint="default"/>
                      <w:color w:val="auto"/>
                      <w:lang w:val="en-US" w:eastAsia="zh-CN"/>
                    </w:rPr>
                    <w:t xml:space="preserve">0.75 </w:t>
                  </w:r>
                </w:p>
              </w:tc>
              <w:tc>
                <w:tcPr>
                  <w:tcW w:w="530" w:type="pct"/>
                  <w:vAlign w:val="center"/>
                </w:tcPr>
                <w:p w14:paraId="24115EFB">
                  <w:pPr>
                    <w:pStyle w:val="51"/>
                    <w:bidi w:val="0"/>
                    <w:rPr>
                      <w:color w:val="auto"/>
                    </w:rPr>
                  </w:pPr>
                  <w:r>
                    <w:rPr>
                      <w:rFonts w:hint="default"/>
                      <w:color w:val="auto"/>
                      <w:lang w:val="en-US" w:eastAsia="zh-CN"/>
                    </w:rPr>
                    <w:t xml:space="preserve">3.48 </w:t>
                  </w:r>
                </w:p>
              </w:tc>
              <w:tc>
                <w:tcPr>
                  <w:tcW w:w="565" w:type="pct"/>
                  <w:vAlign w:val="center"/>
                </w:tcPr>
                <w:p w14:paraId="70680218">
                  <w:pPr>
                    <w:pStyle w:val="51"/>
                    <w:bidi w:val="0"/>
                    <w:rPr>
                      <w:color w:val="auto"/>
                    </w:rPr>
                  </w:pPr>
                  <w:r>
                    <w:rPr>
                      <w:rFonts w:hint="default"/>
                      <w:color w:val="auto"/>
                      <w:lang w:val="en-US" w:eastAsia="zh-CN"/>
                    </w:rPr>
                    <w:t xml:space="preserve">0.117 </w:t>
                  </w:r>
                </w:p>
              </w:tc>
            </w:tr>
          </w:tbl>
          <w:p w14:paraId="06C4A40A">
            <w:pPr>
              <w:pStyle w:val="47"/>
              <w:ind w:firstLine="480"/>
              <w:rPr>
                <w:color w:val="auto"/>
              </w:rPr>
            </w:pPr>
            <w:r>
              <w:rPr>
                <w:rFonts w:hint="eastAsia"/>
                <w:color w:val="auto"/>
              </w:rPr>
              <w:t>因此，本项目喷水织造废水污染物产生浓度分别取COD</w:t>
            </w:r>
            <w:r>
              <w:rPr>
                <w:rFonts w:hint="eastAsia"/>
                <w:color w:val="auto"/>
                <w:lang w:val="en-US" w:eastAsia="zh-CN"/>
              </w:rPr>
              <w:t>430</w:t>
            </w:r>
            <w:r>
              <w:rPr>
                <w:rFonts w:hint="eastAsia"/>
                <w:color w:val="auto"/>
              </w:rPr>
              <w:t>mg/L、SS80mg/L、氨氮</w:t>
            </w:r>
            <w:r>
              <w:rPr>
                <w:rFonts w:hint="eastAsia"/>
                <w:color w:val="auto"/>
                <w:lang w:val="en-US" w:eastAsia="zh-CN"/>
              </w:rPr>
              <w:t>10</w:t>
            </w:r>
            <w:r>
              <w:rPr>
                <w:rFonts w:hint="eastAsia"/>
                <w:color w:val="auto"/>
              </w:rPr>
              <w:t>mg/L、TN</w:t>
            </w:r>
            <w:r>
              <w:rPr>
                <w:rFonts w:hint="eastAsia"/>
                <w:color w:val="auto"/>
                <w:lang w:val="en-US" w:eastAsia="zh-CN"/>
              </w:rPr>
              <w:t>20</w:t>
            </w:r>
            <w:r>
              <w:rPr>
                <w:rFonts w:hint="eastAsia"/>
                <w:color w:val="auto"/>
              </w:rPr>
              <w:t>mg/L、TP</w:t>
            </w:r>
            <w:r>
              <w:rPr>
                <w:rFonts w:hint="eastAsia"/>
                <w:color w:val="auto"/>
                <w:lang w:val="en-US" w:eastAsia="zh-CN"/>
              </w:rPr>
              <w:t>1.0</w:t>
            </w:r>
            <w:r>
              <w:rPr>
                <w:rFonts w:hint="eastAsia"/>
                <w:color w:val="auto"/>
              </w:rPr>
              <w:t>mg/L、石油类</w:t>
            </w:r>
            <w:r>
              <w:rPr>
                <w:rFonts w:hint="eastAsia"/>
                <w:color w:val="auto"/>
                <w:lang w:val="en-US" w:eastAsia="zh-CN"/>
              </w:rPr>
              <w:t>4</w:t>
            </w:r>
            <w:r>
              <w:rPr>
                <w:rFonts w:hint="eastAsia"/>
                <w:color w:val="auto"/>
              </w:rPr>
              <w:t>mg/L、总锑</w:t>
            </w:r>
            <w:r>
              <w:rPr>
                <w:rFonts w:hint="eastAsia"/>
                <w:color w:val="auto"/>
                <w:lang w:val="en-US" w:eastAsia="zh-CN"/>
              </w:rPr>
              <w:t>0.15</w:t>
            </w:r>
            <w:r>
              <w:rPr>
                <w:rFonts w:hint="eastAsia"/>
                <w:color w:val="auto"/>
              </w:rPr>
              <w:t>mg/L。</w:t>
            </w:r>
          </w:p>
          <w:p w14:paraId="710457E6">
            <w:pPr>
              <w:pStyle w:val="47"/>
              <w:ind w:firstLine="482"/>
              <w:rPr>
                <w:b/>
                <w:bCs/>
                <w:color w:val="auto"/>
              </w:rPr>
            </w:pPr>
            <w:r>
              <w:rPr>
                <w:rFonts w:hint="eastAsia"/>
                <w:b/>
                <w:bCs/>
                <w:color w:val="auto"/>
              </w:rPr>
              <w:t>③磨毛用水</w:t>
            </w:r>
          </w:p>
          <w:p w14:paraId="3AA7D5D4">
            <w:pPr>
              <w:pStyle w:val="47"/>
              <w:ind w:firstLine="480"/>
              <w:rPr>
                <w:color w:val="auto"/>
              </w:rPr>
            </w:pPr>
            <w:r>
              <w:rPr>
                <w:rFonts w:hint="eastAsia"/>
                <w:color w:val="auto"/>
              </w:rPr>
              <w:t>本项目每台</w:t>
            </w:r>
            <w:r>
              <w:rPr>
                <w:rFonts w:hint="eastAsia"/>
                <w:color w:val="auto"/>
                <w:lang w:val="en-US" w:eastAsia="zh-CN"/>
              </w:rPr>
              <w:t>磨毛机</w:t>
            </w:r>
            <w:r>
              <w:rPr>
                <w:rFonts w:hint="eastAsia"/>
                <w:color w:val="auto"/>
              </w:rPr>
              <w:t>用水量为5m</w:t>
            </w:r>
            <w:r>
              <w:rPr>
                <w:rFonts w:hint="eastAsia"/>
                <w:color w:val="auto"/>
                <w:vertAlign w:val="superscript"/>
              </w:rPr>
              <w:t>3</w:t>
            </w:r>
            <w:r>
              <w:rPr>
                <w:rFonts w:hint="eastAsia"/>
                <w:color w:val="auto"/>
              </w:rPr>
              <w:t>/d，则4台</w:t>
            </w:r>
            <w:r>
              <w:rPr>
                <w:rFonts w:hint="eastAsia"/>
                <w:color w:val="auto"/>
                <w:lang w:val="en-US" w:eastAsia="zh-CN"/>
              </w:rPr>
              <w:t>磨毛机</w:t>
            </w:r>
            <w:r>
              <w:rPr>
                <w:rFonts w:hint="eastAsia"/>
                <w:color w:val="auto"/>
              </w:rPr>
              <w:t>用水量为6000m</w:t>
            </w:r>
            <w:r>
              <w:rPr>
                <w:rFonts w:hint="eastAsia"/>
                <w:color w:val="auto"/>
                <w:vertAlign w:val="superscript"/>
              </w:rPr>
              <w:t>3</w:t>
            </w:r>
            <w:r>
              <w:rPr>
                <w:rFonts w:hint="eastAsia"/>
                <w:color w:val="auto"/>
              </w:rPr>
              <w:t>/a，磨毛用水循环使用，需定期进行捞渣。磨毛工序由于织物带走、水分蒸发以及捞渣会损耗部分水量，损耗率按20%计，则损耗水量为1200m</w:t>
            </w:r>
            <w:r>
              <w:rPr>
                <w:rFonts w:hint="eastAsia"/>
                <w:color w:val="auto"/>
                <w:vertAlign w:val="superscript"/>
              </w:rPr>
              <w:t>3</w:t>
            </w:r>
            <w:r>
              <w:rPr>
                <w:rFonts w:hint="eastAsia"/>
                <w:color w:val="auto"/>
              </w:rPr>
              <w:t>/a，补充损耗水量即可。</w:t>
            </w:r>
          </w:p>
          <w:p w14:paraId="6EAA5D75">
            <w:pPr>
              <w:pStyle w:val="47"/>
              <w:ind w:firstLine="480"/>
              <w:rPr>
                <w:color w:val="auto"/>
              </w:rPr>
            </w:pPr>
            <w:r>
              <w:rPr>
                <w:color w:val="auto"/>
              </w:rPr>
              <w:t>废水污染源源强核算结果及相关参数见</w:t>
            </w:r>
            <w:r>
              <w:rPr>
                <w:color w:val="auto"/>
              </w:rPr>
              <w:fldChar w:fldCharType="begin"/>
            </w:r>
            <w:r>
              <w:rPr>
                <w:color w:val="auto"/>
              </w:rPr>
              <w:instrText xml:space="preserve"> REF _Ref23743 \h </w:instrText>
            </w:r>
            <w:r>
              <w:rPr>
                <w:color w:val="auto"/>
              </w:rPr>
              <w:fldChar w:fldCharType="separate"/>
            </w:r>
            <w:r>
              <w:rPr>
                <w:color w:val="auto"/>
              </w:rPr>
              <w:t>表4- 10</w:t>
            </w:r>
            <w:r>
              <w:rPr>
                <w:color w:val="auto"/>
              </w:rPr>
              <w:fldChar w:fldCharType="end"/>
            </w:r>
            <w:r>
              <w:rPr>
                <w:color w:val="auto"/>
              </w:rPr>
              <w:t>。</w:t>
            </w:r>
          </w:p>
          <w:p w14:paraId="65C5554C">
            <w:pPr>
              <w:pStyle w:val="7"/>
              <w:rPr>
                <w:color w:val="auto"/>
              </w:rPr>
            </w:pPr>
            <w:bookmarkStart w:id="59" w:name="_Ref23743"/>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10</w:t>
            </w:r>
            <w:r>
              <w:rPr>
                <w:color w:val="auto"/>
              </w:rPr>
              <w:fldChar w:fldCharType="end"/>
            </w:r>
            <w:bookmarkEnd w:id="59"/>
            <w:r>
              <w:rPr>
                <w:color w:val="auto"/>
              </w:rPr>
              <w:t xml:space="preserve"> 污水污染源源强核算结果及相关参数一览表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876"/>
              <w:gridCol w:w="364"/>
              <w:gridCol w:w="690"/>
              <w:gridCol w:w="731"/>
              <w:gridCol w:w="825"/>
              <w:gridCol w:w="1050"/>
              <w:gridCol w:w="600"/>
              <w:gridCol w:w="690"/>
              <w:gridCol w:w="705"/>
              <w:gridCol w:w="808"/>
              <w:gridCol w:w="693"/>
            </w:tblGrid>
            <w:tr w14:paraId="2B1E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7" w:type="pct"/>
                  <w:vMerge w:val="restart"/>
                  <w:tcBorders>
                    <w:tl2br w:val="nil"/>
                    <w:tr2bl w:val="nil"/>
                  </w:tcBorders>
                  <w:vAlign w:val="center"/>
                </w:tcPr>
                <w:p w14:paraId="1264A9F7">
                  <w:pPr>
                    <w:pStyle w:val="49"/>
                    <w:rPr>
                      <w:color w:val="auto"/>
                    </w:rPr>
                  </w:pPr>
                  <w:r>
                    <w:rPr>
                      <w:color w:val="auto"/>
                    </w:rPr>
                    <w:t>工序</w:t>
                  </w:r>
                </w:p>
              </w:tc>
              <w:tc>
                <w:tcPr>
                  <w:tcW w:w="519" w:type="pct"/>
                  <w:vMerge w:val="restart"/>
                  <w:tcBorders>
                    <w:tl2br w:val="nil"/>
                    <w:tr2bl w:val="nil"/>
                  </w:tcBorders>
                  <w:vAlign w:val="center"/>
                </w:tcPr>
                <w:p w14:paraId="1E2C10B9">
                  <w:pPr>
                    <w:pStyle w:val="49"/>
                    <w:rPr>
                      <w:color w:val="auto"/>
                    </w:rPr>
                  </w:pPr>
                  <w:r>
                    <w:rPr>
                      <w:color w:val="auto"/>
                    </w:rPr>
                    <w:t>污染物名称</w:t>
                  </w:r>
                </w:p>
              </w:tc>
              <w:tc>
                <w:tcPr>
                  <w:tcW w:w="1547" w:type="pct"/>
                  <w:gridSpan w:val="4"/>
                  <w:tcBorders>
                    <w:tl2br w:val="nil"/>
                    <w:tr2bl w:val="nil"/>
                  </w:tcBorders>
                  <w:vAlign w:val="center"/>
                </w:tcPr>
                <w:p w14:paraId="117A8ACD">
                  <w:pPr>
                    <w:pStyle w:val="49"/>
                    <w:rPr>
                      <w:color w:val="auto"/>
                    </w:rPr>
                  </w:pPr>
                  <w:r>
                    <w:rPr>
                      <w:color w:val="auto"/>
                    </w:rPr>
                    <w:t>污染物产生</w:t>
                  </w:r>
                </w:p>
              </w:tc>
              <w:tc>
                <w:tcPr>
                  <w:tcW w:w="622" w:type="pct"/>
                  <w:vMerge w:val="restart"/>
                  <w:tcBorders>
                    <w:tl2br w:val="nil"/>
                    <w:tr2bl w:val="nil"/>
                  </w:tcBorders>
                  <w:vAlign w:val="center"/>
                </w:tcPr>
                <w:p w14:paraId="3E2EF02B">
                  <w:pPr>
                    <w:pStyle w:val="49"/>
                    <w:rPr>
                      <w:color w:val="auto"/>
                    </w:rPr>
                  </w:pPr>
                  <w:r>
                    <w:rPr>
                      <w:color w:val="auto"/>
                    </w:rPr>
                    <w:t>治理</w:t>
                  </w:r>
                </w:p>
                <w:p w14:paraId="00914D67">
                  <w:pPr>
                    <w:pStyle w:val="49"/>
                    <w:rPr>
                      <w:color w:val="auto"/>
                    </w:rPr>
                  </w:pPr>
                  <w:r>
                    <w:rPr>
                      <w:color w:val="auto"/>
                    </w:rPr>
                    <w:t>措施</w:t>
                  </w:r>
                </w:p>
              </w:tc>
              <w:tc>
                <w:tcPr>
                  <w:tcW w:w="1661" w:type="pct"/>
                  <w:gridSpan w:val="4"/>
                  <w:tcBorders>
                    <w:tl2br w:val="nil"/>
                    <w:tr2bl w:val="nil"/>
                  </w:tcBorders>
                  <w:vAlign w:val="center"/>
                </w:tcPr>
                <w:p w14:paraId="269D0AE9">
                  <w:pPr>
                    <w:pStyle w:val="49"/>
                    <w:rPr>
                      <w:color w:val="auto"/>
                    </w:rPr>
                  </w:pPr>
                  <w:r>
                    <w:rPr>
                      <w:color w:val="auto"/>
                    </w:rPr>
                    <w:t>污染物排放</w:t>
                  </w:r>
                </w:p>
              </w:tc>
              <w:tc>
                <w:tcPr>
                  <w:tcW w:w="410" w:type="pct"/>
                  <w:vMerge w:val="restart"/>
                  <w:tcBorders>
                    <w:tl2br w:val="nil"/>
                    <w:tr2bl w:val="nil"/>
                  </w:tcBorders>
                  <w:vAlign w:val="center"/>
                </w:tcPr>
                <w:p w14:paraId="57458A93">
                  <w:pPr>
                    <w:pStyle w:val="49"/>
                    <w:rPr>
                      <w:color w:val="auto"/>
                    </w:rPr>
                  </w:pPr>
                  <w:r>
                    <w:rPr>
                      <w:color w:val="auto"/>
                    </w:rPr>
                    <w:t>去向</w:t>
                  </w:r>
                </w:p>
              </w:tc>
            </w:tr>
            <w:tr w14:paraId="2C2A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237" w:type="pct"/>
                  <w:vMerge w:val="continue"/>
                  <w:tcBorders>
                    <w:tl2br w:val="nil"/>
                    <w:tr2bl w:val="nil"/>
                  </w:tcBorders>
                  <w:vAlign w:val="center"/>
                </w:tcPr>
                <w:p w14:paraId="0C93842B">
                  <w:pPr>
                    <w:pStyle w:val="49"/>
                    <w:rPr>
                      <w:color w:val="auto"/>
                    </w:rPr>
                  </w:pPr>
                </w:p>
              </w:tc>
              <w:tc>
                <w:tcPr>
                  <w:tcW w:w="519" w:type="pct"/>
                  <w:vMerge w:val="continue"/>
                  <w:tcBorders>
                    <w:tl2br w:val="nil"/>
                    <w:tr2bl w:val="nil"/>
                  </w:tcBorders>
                  <w:vAlign w:val="center"/>
                </w:tcPr>
                <w:p w14:paraId="6E8C6DDD">
                  <w:pPr>
                    <w:pStyle w:val="49"/>
                    <w:rPr>
                      <w:color w:val="auto"/>
                    </w:rPr>
                  </w:pPr>
                </w:p>
              </w:tc>
              <w:tc>
                <w:tcPr>
                  <w:tcW w:w="215" w:type="pct"/>
                  <w:tcBorders>
                    <w:tl2br w:val="nil"/>
                    <w:tr2bl w:val="nil"/>
                  </w:tcBorders>
                  <w:vAlign w:val="center"/>
                </w:tcPr>
                <w:p w14:paraId="437B1F72">
                  <w:pPr>
                    <w:pStyle w:val="49"/>
                    <w:rPr>
                      <w:color w:val="auto"/>
                    </w:rPr>
                  </w:pPr>
                  <w:r>
                    <w:rPr>
                      <w:color w:val="auto"/>
                    </w:rPr>
                    <w:t>核算方法</w:t>
                  </w:r>
                </w:p>
              </w:tc>
              <w:tc>
                <w:tcPr>
                  <w:tcW w:w="409" w:type="pct"/>
                  <w:tcBorders>
                    <w:tl2br w:val="nil"/>
                    <w:tr2bl w:val="nil"/>
                  </w:tcBorders>
                  <w:vAlign w:val="center"/>
                </w:tcPr>
                <w:p w14:paraId="2B4B13A9">
                  <w:pPr>
                    <w:pStyle w:val="49"/>
                    <w:rPr>
                      <w:color w:val="auto"/>
                    </w:rPr>
                  </w:pPr>
                  <w:r>
                    <w:rPr>
                      <w:color w:val="auto"/>
                    </w:rPr>
                    <w:t>产生废水量m</w:t>
                  </w:r>
                  <w:r>
                    <w:rPr>
                      <w:color w:val="auto"/>
                      <w:vertAlign w:val="superscript"/>
                    </w:rPr>
                    <w:t>3</w:t>
                  </w:r>
                  <w:r>
                    <w:rPr>
                      <w:color w:val="auto"/>
                    </w:rPr>
                    <w:t>/a</w:t>
                  </w:r>
                </w:p>
              </w:tc>
              <w:tc>
                <w:tcPr>
                  <w:tcW w:w="433" w:type="pct"/>
                  <w:tcBorders>
                    <w:tl2br w:val="nil"/>
                    <w:tr2bl w:val="nil"/>
                  </w:tcBorders>
                  <w:vAlign w:val="center"/>
                </w:tcPr>
                <w:p w14:paraId="17F8F0E4">
                  <w:pPr>
                    <w:pStyle w:val="49"/>
                    <w:rPr>
                      <w:color w:val="auto"/>
                    </w:rPr>
                  </w:pPr>
                  <w:r>
                    <w:rPr>
                      <w:color w:val="auto"/>
                    </w:rPr>
                    <w:t>产生浓度mg/L</w:t>
                  </w:r>
                </w:p>
              </w:tc>
              <w:tc>
                <w:tcPr>
                  <w:tcW w:w="489" w:type="pct"/>
                  <w:tcBorders>
                    <w:tl2br w:val="nil"/>
                    <w:tr2bl w:val="nil"/>
                  </w:tcBorders>
                  <w:vAlign w:val="center"/>
                </w:tcPr>
                <w:p w14:paraId="686CF098">
                  <w:pPr>
                    <w:pStyle w:val="49"/>
                    <w:rPr>
                      <w:color w:val="auto"/>
                    </w:rPr>
                  </w:pPr>
                  <w:r>
                    <w:rPr>
                      <w:color w:val="auto"/>
                    </w:rPr>
                    <w:t>产生量t/a</w:t>
                  </w:r>
                </w:p>
              </w:tc>
              <w:tc>
                <w:tcPr>
                  <w:tcW w:w="622" w:type="pct"/>
                  <w:vMerge w:val="continue"/>
                  <w:tcBorders>
                    <w:tl2br w:val="nil"/>
                    <w:tr2bl w:val="nil"/>
                  </w:tcBorders>
                  <w:vAlign w:val="center"/>
                </w:tcPr>
                <w:p w14:paraId="6A1A9352">
                  <w:pPr>
                    <w:pStyle w:val="49"/>
                    <w:rPr>
                      <w:color w:val="auto"/>
                    </w:rPr>
                  </w:pPr>
                </w:p>
              </w:tc>
              <w:tc>
                <w:tcPr>
                  <w:tcW w:w="355" w:type="pct"/>
                  <w:tcBorders>
                    <w:tl2br w:val="nil"/>
                    <w:tr2bl w:val="nil"/>
                  </w:tcBorders>
                  <w:vAlign w:val="center"/>
                </w:tcPr>
                <w:p w14:paraId="7CF15640">
                  <w:pPr>
                    <w:pStyle w:val="49"/>
                    <w:rPr>
                      <w:color w:val="auto"/>
                    </w:rPr>
                  </w:pPr>
                  <w:r>
                    <w:rPr>
                      <w:color w:val="auto"/>
                    </w:rPr>
                    <w:t>去除效率%</w:t>
                  </w:r>
                </w:p>
              </w:tc>
              <w:tc>
                <w:tcPr>
                  <w:tcW w:w="409" w:type="pct"/>
                  <w:tcBorders>
                    <w:tl2br w:val="nil"/>
                    <w:tr2bl w:val="nil"/>
                  </w:tcBorders>
                  <w:vAlign w:val="center"/>
                </w:tcPr>
                <w:p w14:paraId="14FE5FA3">
                  <w:pPr>
                    <w:pStyle w:val="49"/>
                    <w:rPr>
                      <w:color w:val="auto"/>
                    </w:rPr>
                  </w:pPr>
                  <w:r>
                    <w:rPr>
                      <w:color w:val="auto"/>
                    </w:rPr>
                    <w:t>排放废水量m</w:t>
                  </w:r>
                  <w:r>
                    <w:rPr>
                      <w:color w:val="auto"/>
                      <w:vertAlign w:val="superscript"/>
                    </w:rPr>
                    <w:t>3</w:t>
                  </w:r>
                  <w:r>
                    <w:rPr>
                      <w:color w:val="auto"/>
                    </w:rPr>
                    <w:t>/a</w:t>
                  </w:r>
                </w:p>
              </w:tc>
              <w:tc>
                <w:tcPr>
                  <w:tcW w:w="418" w:type="pct"/>
                  <w:tcBorders>
                    <w:tl2br w:val="nil"/>
                    <w:tr2bl w:val="nil"/>
                  </w:tcBorders>
                  <w:vAlign w:val="center"/>
                </w:tcPr>
                <w:p w14:paraId="26591F54">
                  <w:pPr>
                    <w:pStyle w:val="49"/>
                    <w:rPr>
                      <w:color w:val="auto"/>
                    </w:rPr>
                  </w:pPr>
                  <w:r>
                    <w:rPr>
                      <w:color w:val="auto"/>
                    </w:rPr>
                    <w:t>排放浓度mg/L</w:t>
                  </w:r>
                </w:p>
              </w:tc>
              <w:tc>
                <w:tcPr>
                  <w:tcW w:w="479" w:type="pct"/>
                  <w:tcBorders>
                    <w:tl2br w:val="nil"/>
                    <w:tr2bl w:val="nil"/>
                  </w:tcBorders>
                  <w:vAlign w:val="center"/>
                </w:tcPr>
                <w:p w14:paraId="472D0F9D">
                  <w:pPr>
                    <w:pStyle w:val="49"/>
                    <w:rPr>
                      <w:color w:val="auto"/>
                    </w:rPr>
                  </w:pPr>
                  <w:r>
                    <w:rPr>
                      <w:color w:val="auto"/>
                    </w:rPr>
                    <w:t>排放量t/a</w:t>
                  </w:r>
                </w:p>
              </w:tc>
              <w:tc>
                <w:tcPr>
                  <w:tcW w:w="410" w:type="pct"/>
                  <w:vMerge w:val="continue"/>
                  <w:tcBorders>
                    <w:tl2br w:val="nil"/>
                    <w:tr2bl w:val="nil"/>
                  </w:tcBorders>
                  <w:vAlign w:val="center"/>
                </w:tcPr>
                <w:p w14:paraId="66F73E67">
                  <w:pPr>
                    <w:rPr>
                      <w:color w:val="auto"/>
                    </w:rPr>
                  </w:pPr>
                </w:p>
              </w:tc>
            </w:tr>
            <w:tr w14:paraId="6859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237" w:type="pct"/>
                  <w:vMerge w:val="restart"/>
                  <w:tcBorders>
                    <w:tl2br w:val="nil"/>
                    <w:tr2bl w:val="nil"/>
                  </w:tcBorders>
                  <w:vAlign w:val="center"/>
                </w:tcPr>
                <w:p w14:paraId="5D8756EB">
                  <w:pPr>
                    <w:pStyle w:val="51"/>
                    <w:bidi w:val="0"/>
                    <w:rPr>
                      <w:color w:val="auto"/>
                    </w:rPr>
                  </w:pPr>
                  <w:r>
                    <w:rPr>
                      <w:color w:val="auto"/>
                    </w:rPr>
                    <w:t>职工生活</w:t>
                  </w:r>
                </w:p>
              </w:tc>
              <w:tc>
                <w:tcPr>
                  <w:tcW w:w="519" w:type="pct"/>
                  <w:tcBorders>
                    <w:tl2br w:val="nil"/>
                    <w:tr2bl w:val="nil"/>
                  </w:tcBorders>
                  <w:vAlign w:val="center"/>
                </w:tcPr>
                <w:p w14:paraId="58116493">
                  <w:pPr>
                    <w:pStyle w:val="51"/>
                    <w:bidi w:val="0"/>
                    <w:rPr>
                      <w:color w:val="auto"/>
                    </w:rPr>
                  </w:pPr>
                  <w:r>
                    <w:rPr>
                      <w:color w:val="auto"/>
                    </w:rPr>
                    <w:t>COD</w:t>
                  </w:r>
                </w:p>
              </w:tc>
              <w:tc>
                <w:tcPr>
                  <w:tcW w:w="215" w:type="pct"/>
                  <w:vMerge w:val="restart"/>
                  <w:tcBorders>
                    <w:tl2br w:val="nil"/>
                    <w:tr2bl w:val="nil"/>
                  </w:tcBorders>
                  <w:vAlign w:val="center"/>
                </w:tcPr>
                <w:p w14:paraId="71990AF6">
                  <w:pPr>
                    <w:pStyle w:val="51"/>
                    <w:bidi w:val="0"/>
                    <w:rPr>
                      <w:color w:val="auto"/>
                    </w:rPr>
                  </w:pPr>
                  <w:r>
                    <w:rPr>
                      <w:color w:val="auto"/>
                    </w:rPr>
                    <w:t>类比法</w:t>
                  </w:r>
                </w:p>
              </w:tc>
              <w:tc>
                <w:tcPr>
                  <w:tcW w:w="409" w:type="pct"/>
                  <w:vMerge w:val="restart"/>
                  <w:tcBorders>
                    <w:tl2br w:val="nil"/>
                    <w:tr2bl w:val="nil"/>
                  </w:tcBorders>
                  <w:vAlign w:val="center"/>
                </w:tcPr>
                <w:p w14:paraId="27DBD570">
                  <w:pPr>
                    <w:pStyle w:val="51"/>
                    <w:bidi w:val="0"/>
                    <w:rPr>
                      <w:color w:val="auto"/>
                    </w:rPr>
                  </w:pPr>
                  <w:r>
                    <w:rPr>
                      <w:rFonts w:hint="eastAsia"/>
                      <w:color w:val="auto"/>
                    </w:rPr>
                    <w:t>2400</w:t>
                  </w:r>
                </w:p>
              </w:tc>
              <w:tc>
                <w:tcPr>
                  <w:tcW w:w="433" w:type="pct"/>
                  <w:tcBorders>
                    <w:tl2br w:val="nil"/>
                    <w:tr2bl w:val="nil"/>
                  </w:tcBorders>
                  <w:shd w:val="clear" w:color="auto" w:fill="auto"/>
                  <w:vAlign w:val="center"/>
                </w:tcPr>
                <w:p w14:paraId="119E7BBB">
                  <w:pPr>
                    <w:pStyle w:val="51"/>
                    <w:bidi w:val="0"/>
                    <w:rPr>
                      <w:color w:val="auto"/>
                    </w:rPr>
                  </w:pPr>
                  <w:r>
                    <w:rPr>
                      <w:color w:val="auto"/>
                    </w:rPr>
                    <w:t>350</w:t>
                  </w:r>
                </w:p>
              </w:tc>
              <w:tc>
                <w:tcPr>
                  <w:tcW w:w="489" w:type="pct"/>
                  <w:tcBorders>
                    <w:tl2br w:val="nil"/>
                    <w:tr2bl w:val="nil"/>
                  </w:tcBorders>
                  <w:shd w:val="clear" w:color="auto" w:fill="auto"/>
                  <w:vAlign w:val="center"/>
                </w:tcPr>
                <w:p w14:paraId="7C2689D2">
                  <w:pPr>
                    <w:pStyle w:val="51"/>
                    <w:bidi w:val="0"/>
                    <w:rPr>
                      <w:color w:val="auto"/>
                    </w:rPr>
                  </w:pPr>
                  <w:r>
                    <w:rPr>
                      <w:color w:val="auto"/>
                    </w:rPr>
                    <w:t xml:space="preserve">0.8400 </w:t>
                  </w:r>
                </w:p>
              </w:tc>
              <w:tc>
                <w:tcPr>
                  <w:tcW w:w="622" w:type="pct"/>
                  <w:vMerge w:val="restart"/>
                  <w:tcBorders>
                    <w:tl2br w:val="nil"/>
                    <w:tr2bl w:val="nil"/>
                  </w:tcBorders>
                  <w:vAlign w:val="center"/>
                </w:tcPr>
                <w:p w14:paraId="3BD31BB1">
                  <w:pPr>
                    <w:pStyle w:val="51"/>
                    <w:bidi w:val="0"/>
                    <w:rPr>
                      <w:color w:val="auto"/>
                    </w:rPr>
                  </w:pPr>
                  <w:r>
                    <w:rPr>
                      <w:color w:val="auto"/>
                    </w:rPr>
                    <w:t>化粪池</w:t>
                  </w:r>
                </w:p>
              </w:tc>
              <w:tc>
                <w:tcPr>
                  <w:tcW w:w="355" w:type="pct"/>
                  <w:tcBorders>
                    <w:tl2br w:val="nil"/>
                    <w:tr2bl w:val="nil"/>
                  </w:tcBorders>
                  <w:vAlign w:val="center"/>
                </w:tcPr>
                <w:p w14:paraId="3ED92AD1">
                  <w:pPr>
                    <w:pStyle w:val="51"/>
                    <w:bidi w:val="0"/>
                    <w:rPr>
                      <w:color w:val="auto"/>
                    </w:rPr>
                  </w:pPr>
                  <w:r>
                    <w:rPr>
                      <w:color w:val="auto"/>
                    </w:rPr>
                    <w:t>20</w:t>
                  </w:r>
                </w:p>
              </w:tc>
              <w:tc>
                <w:tcPr>
                  <w:tcW w:w="409" w:type="pct"/>
                  <w:vMerge w:val="restart"/>
                  <w:tcBorders>
                    <w:tl2br w:val="nil"/>
                    <w:tr2bl w:val="nil"/>
                  </w:tcBorders>
                  <w:vAlign w:val="center"/>
                </w:tcPr>
                <w:p w14:paraId="589F0000">
                  <w:pPr>
                    <w:pStyle w:val="51"/>
                    <w:bidi w:val="0"/>
                    <w:rPr>
                      <w:color w:val="auto"/>
                    </w:rPr>
                  </w:pPr>
                  <w:r>
                    <w:rPr>
                      <w:rFonts w:hint="eastAsia"/>
                      <w:color w:val="auto"/>
                    </w:rPr>
                    <w:t>2400</w:t>
                  </w:r>
                </w:p>
              </w:tc>
              <w:tc>
                <w:tcPr>
                  <w:tcW w:w="418" w:type="pct"/>
                  <w:tcBorders>
                    <w:tl2br w:val="nil"/>
                    <w:tr2bl w:val="nil"/>
                  </w:tcBorders>
                  <w:vAlign w:val="center"/>
                </w:tcPr>
                <w:p w14:paraId="2920DC36">
                  <w:pPr>
                    <w:pStyle w:val="51"/>
                    <w:bidi w:val="0"/>
                    <w:rPr>
                      <w:color w:val="auto"/>
                    </w:rPr>
                  </w:pPr>
                  <w:r>
                    <w:rPr>
                      <w:color w:val="auto"/>
                    </w:rPr>
                    <w:t>280</w:t>
                  </w:r>
                </w:p>
              </w:tc>
              <w:tc>
                <w:tcPr>
                  <w:tcW w:w="479" w:type="pct"/>
                  <w:tcBorders>
                    <w:tl2br w:val="nil"/>
                    <w:tr2bl w:val="nil"/>
                  </w:tcBorders>
                  <w:vAlign w:val="center"/>
                </w:tcPr>
                <w:p w14:paraId="36044A89">
                  <w:pPr>
                    <w:pStyle w:val="51"/>
                    <w:bidi w:val="0"/>
                    <w:rPr>
                      <w:color w:val="auto"/>
                    </w:rPr>
                  </w:pPr>
                  <w:r>
                    <w:rPr>
                      <w:color w:val="auto"/>
                    </w:rPr>
                    <w:t xml:space="preserve">0.6720 </w:t>
                  </w:r>
                </w:p>
              </w:tc>
              <w:tc>
                <w:tcPr>
                  <w:tcW w:w="410" w:type="pct"/>
                  <w:vMerge w:val="restart"/>
                  <w:tcBorders>
                    <w:tl2br w:val="nil"/>
                    <w:tr2bl w:val="nil"/>
                  </w:tcBorders>
                  <w:vAlign w:val="center"/>
                </w:tcPr>
                <w:p w14:paraId="37FECB2C">
                  <w:pPr>
                    <w:pStyle w:val="51"/>
                    <w:rPr>
                      <w:color w:val="auto"/>
                    </w:rPr>
                  </w:pPr>
                  <w:r>
                    <w:rPr>
                      <w:rFonts w:hint="eastAsia"/>
                      <w:color w:val="auto"/>
                    </w:rPr>
                    <w:t>新袁镇污水处理</w:t>
                  </w:r>
                  <w:r>
                    <w:rPr>
                      <w:color w:val="auto"/>
                    </w:rPr>
                    <w:t>厂</w:t>
                  </w:r>
                </w:p>
              </w:tc>
            </w:tr>
            <w:tr w14:paraId="34A2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7" w:type="pct"/>
                  <w:vMerge w:val="continue"/>
                  <w:tcBorders>
                    <w:tl2br w:val="nil"/>
                    <w:tr2bl w:val="nil"/>
                  </w:tcBorders>
                  <w:vAlign w:val="center"/>
                </w:tcPr>
                <w:p w14:paraId="0661B14F">
                  <w:pPr>
                    <w:pStyle w:val="51"/>
                    <w:bidi w:val="0"/>
                    <w:rPr>
                      <w:color w:val="auto"/>
                    </w:rPr>
                  </w:pPr>
                </w:p>
              </w:tc>
              <w:tc>
                <w:tcPr>
                  <w:tcW w:w="519" w:type="pct"/>
                  <w:tcBorders>
                    <w:tl2br w:val="nil"/>
                    <w:tr2bl w:val="nil"/>
                  </w:tcBorders>
                  <w:vAlign w:val="center"/>
                </w:tcPr>
                <w:p w14:paraId="7365370E">
                  <w:pPr>
                    <w:pStyle w:val="51"/>
                    <w:bidi w:val="0"/>
                    <w:rPr>
                      <w:color w:val="auto"/>
                    </w:rPr>
                  </w:pPr>
                  <w:r>
                    <w:rPr>
                      <w:color w:val="auto"/>
                    </w:rPr>
                    <w:t>SS</w:t>
                  </w:r>
                </w:p>
              </w:tc>
              <w:tc>
                <w:tcPr>
                  <w:tcW w:w="215" w:type="pct"/>
                  <w:vMerge w:val="continue"/>
                  <w:tcBorders>
                    <w:tl2br w:val="nil"/>
                    <w:tr2bl w:val="nil"/>
                  </w:tcBorders>
                  <w:vAlign w:val="center"/>
                </w:tcPr>
                <w:p w14:paraId="737E0219">
                  <w:pPr>
                    <w:pStyle w:val="51"/>
                    <w:bidi w:val="0"/>
                    <w:rPr>
                      <w:color w:val="auto"/>
                    </w:rPr>
                  </w:pPr>
                </w:p>
              </w:tc>
              <w:tc>
                <w:tcPr>
                  <w:tcW w:w="409" w:type="pct"/>
                  <w:vMerge w:val="continue"/>
                  <w:tcBorders>
                    <w:tl2br w:val="nil"/>
                    <w:tr2bl w:val="nil"/>
                  </w:tcBorders>
                  <w:vAlign w:val="center"/>
                </w:tcPr>
                <w:p w14:paraId="4082A067">
                  <w:pPr>
                    <w:pStyle w:val="51"/>
                    <w:bidi w:val="0"/>
                    <w:rPr>
                      <w:color w:val="auto"/>
                    </w:rPr>
                  </w:pPr>
                </w:p>
              </w:tc>
              <w:tc>
                <w:tcPr>
                  <w:tcW w:w="433" w:type="pct"/>
                  <w:tcBorders>
                    <w:tl2br w:val="nil"/>
                    <w:tr2bl w:val="nil"/>
                  </w:tcBorders>
                  <w:shd w:val="clear" w:color="auto" w:fill="auto"/>
                  <w:vAlign w:val="center"/>
                </w:tcPr>
                <w:p w14:paraId="4EC9DE25">
                  <w:pPr>
                    <w:pStyle w:val="51"/>
                    <w:bidi w:val="0"/>
                    <w:rPr>
                      <w:color w:val="auto"/>
                    </w:rPr>
                  </w:pPr>
                  <w:r>
                    <w:rPr>
                      <w:color w:val="auto"/>
                    </w:rPr>
                    <w:t>200</w:t>
                  </w:r>
                </w:p>
              </w:tc>
              <w:tc>
                <w:tcPr>
                  <w:tcW w:w="489" w:type="pct"/>
                  <w:tcBorders>
                    <w:tl2br w:val="nil"/>
                    <w:tr2bl w:val="nil"/>
                  </w:tcBorders>
                  <w:shd w:val="clear" w:color="auto" w:fill="auto"/>
                  <w:vAlign w:val="center"/>
                </w:tcPr>
                <w:p w14:paraId="07A78638">
                  <w:pPr>
                    <w:pStyle w:val="51"/>
                    <w:bidi w:val="0"/>
                    <w:rPr>
                      <w:color w:val="auto"/>
                    </w:rPr>
                  </w:pPr>
                  <w:r>
                    <w:rPr>
                      <w:color w:val="auto"/>
                    </w:rPr>
                    <w:t xml:space="preserve">0.4800 </w:t>
                  </w:r>
                </w:p>
              </w:tc>
              <w:tc>
                <w:tcPr>
                  <w:tcW w:w="622" w:type="pct"/>
                  <w:vMerge w:val="continue"/>
                  <w:tcBorders>
                    <w:tl2br w:val="nil"/>
                    <w:tr2bl w:val="nil"/>
                  </w:tcBorders>
                  <w:vAlign w:val="center"/>
                </w:tcPr>
                <w:p w14:paraId="639C498C">
                  <w:pPr>
                    <w:pStyle w:val="51"/>
                    <w:bidi w:val="0"/>
                    <w:rPr>
                      <w:color w:val="auto"/>
                    </w:rPr>
                  </w:pPr>
                </w:p>
              </w:tc>
              <w:tc>
                <w:tcPr>
                  <w:tcW w:w="355" w:type="pct"/>
                  <w:tcBorders>
                    <w:tl2br w:val="nil"/>
                    <w:tr2bl w:val="nil"/>
                  </w:tcBorders>
                  <w:vAlign w:val="center"/>
                </w:tcPr>
                <w:p w14:paraId="222F0D64">
                  <w:pPr>
                    <w:pStyle w:val="51"/>
                    <w:bidi w:val="0"/>
                    <w:rPr>
                      <w:color w:val="auto"/>
                    </w:rPr>
                  </w:pPr>
                  <w:r>
                    <w:rPr>
                      <w:rFonts w:hint="eastAsia"/>
                      <w:color w:val="auto"/>
                    </w:rPr>
                    <w:t>25</w:t>
                  </w:r>
                </w:p>
              </w:tc>
              <w:tc>
                <w:tcPr>
                  <w:tcW w:w="409" w:type="pct"/>
                  <w:vMerge w:val="continue"/>
                  <w:tcBorders>
                    <w:tl2br w:val="nil"/>
                    <w:tr2bl w:val="nil"/>
                  </w:tcBorders>
                  <w:vAlign w:val="center"/>
                </w:tcPr>
                <w:p w14:paraId="5CAB5AC3">
                  <w:pPr>
                    <w:pStyle w:val="51"/>
                    <w:bidi w:val="0"/>
                    <w:rPr>
                      <w:color w:val="auto"/>
                    </w:rPr>
                  </w:pPr>
                </w:p>
              </w:tc>
              <w:tc>
                <w:tcPr>
                  <w:tcW w:w="418" w:type="pct"/>
                  <w:tcBorders>
                    <w:tl2br w:val="nil"/>
                    <w:tr2bl w:val="nil"/>
                  </w:tcBorders>
                  <w:vAlign w:val="center"/>
                </w:tcPr>
                <w:p w14:paraId="25C26A4B">
                  <w:pPr>
                    <w:pStyle w:val="51"/>
                    <w:bidi w:val="0"/>
                    <w:rPr>
                      <w:color w:val="auto"/>
                    </w:rPr>
                  </w:pPr>
                  <w:r>
                    <w:rPr>
                      <w:color w:val="auto"/>
                    </w:rPr>
                    <w:t>150</w:t>
                  </w:r>
                </w:p>
              </w:tc>
              <w:tc>
                <w:tcPr>
                  <w:tcW w:w="479" w:type="pct"/>
                  <w:tcBorders>
                    <w:tl2br w:val="nil"/>
                    <w:tr2bl w:val="nil"/>
                  </w:tcBorders>
                  <w:vAlign w:val="center"/>
                </w:tcPr>
                <w:p w14:paraId="29DF948B">
                  <w:pPr>
                    <w:pStyle w:val="51"/>
                    <w:bidi w:val="0"/>
                    <w:rPr>
                      <w:color w:val="auto"/>
                    </w:rPr>
                  </w:pPr>
                  <w:r>
                    <w:rPr>
                      <w:color w:val="auto"/>
                    </w:rPr>
                    <w:t xml:space="preserve">0.3600 </w:t>
                  </w:r>
                </w:p>
              </w:tc>
              <w:tc>
                <w:tcPr>
                  <w:tcW w:w="410" w:type="pct"/>
                  <w:vMerge w:val="continue"/>
                  <w:tcBorders>
                    <w:tl2br w:val="nil"/>
                    <w:tr2bl w:val="nil"/>
                  </w:tcBorders>
                  <w:vAlign w:val="center"/>
                </w:tcPr>
                <w:p w14:paraId="77826FEF">
                  <w:pPr>
                    <w:pStyle w:val="51"/>
                    <w:rPr>
                      <w:color w:val="auto"/>
                    </w:rPr>
                  </w:pPr>
                </w:p>
              </w:tc>
            </w:tr>
            <w:tr w14:paraId="20A5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7" w:type="pct"/>
                  <w:vMerge w:val="continue"/>
                  <w:tcBorders>
                    <w:tl2br w:val="nil"/>
                    <w:tr2bl w:val="nil"/>
                  </w:tcBorders>
                  <w:vAlign w:val="center"/>
                </w:tcPr>
                <w:p w14:paraId="0D97DF9A">
                  <w:pPr>
                    <w:pStyle w:val="51"/>
                    <w:bidi w:val="0"/>
                    <w:rPr>
                      <w:color w:val="auto"/>
                    </w:rPr>
                  </w:pPr>
                </w:p>
              </w:tc>
              <w:tc>
                <w:tcPr>
                  <w:tcW w:w="519" w:type="pct"/>
                  <w:tcBorders>
                    <w:tl2br w:val="nil"/>
                    <w:tr2bl w:val="nil"/>
                  </w:tcBorders>
                  <w:vAlign w:val="center"/>
                </w:tcPr>
                <w:p w14:paraId="74D0215C">
                  <w:pPr>
                    <w:pStyle w:val="51"/>
                    <w:bidi w:val="0"/>
                    <w:rPr>
                      <w:color w:val="auto"/>
                    </w:rPr>
                  </w:pPr>
                  <w:r>
                    <w:rPr>
                      <w:color w:val="auto"/>
                    </w:rPr>
                    <w:t>氨氮</w:t>
                  </w:r>
                </w:p>
              </w:tc>
              <w:tc>
                <w:tcPr>
                  <w:tcW w:w="215" w:type="pct"/>
                  <w:vMerge w:val="continue"/>
                  <w:tcBorders>
                    <w:tl2br w:val="nil"/>
                    <w:tr2bl w:val="nil"/>
                  </w:tcBorders>
                  <w:vAlign w:val="center"/>
                </w:tcPr>
                <w:p w14:paraId="21773619">
                  <w:pPr>
                    <w:pStyle w:val="51"/>
                    <w:bidi w:val="0"/>
                    <w:rPr>
                      <w:color w:val="auto"/>
                    </w:rPr>
                  </w:pPr>
                </w:p>
              </w:tc>
              <w:tc>
                <w:tcPr>
                  <w:tcW w:w="409" w:type="pct"/>
                  <w:vMerge w:val="continue"/>
                  <w:tcBorders>
                    <w:tl2br w:val="nil"/>
                    <w:tr2bl w:val="nil"/>
                  </w:tcBorders>
                  <w:vAlign w:val="center"/>
                </w:tcPr>
                <w:p w14:paraId="7A159A0C">
                  <w:pPr>
                    <w:pStyle w:val="51"/>
                    <w:bidi w:val="0"/>
                    <w:rPr>
                      <w:color w:val="auto"/>
                    </w:rPr>
                  </w:pPr>
                </w:p>
              </w:tc>
              <w:tc>
                <w:tcPr>
                  <w:tcW w:w="433" w:type="pct"/>
                  <w:tcBorders>
                    <w:tl2br w:val="nil"/>
                    <w:tr2bl w:val="nil"/>
                  </w:tcBorders>
                  <w:shd w:val="clear" w:color="auto" w:fill="auto"/>
                  <w:vAlign w:val="center"/>
                </w:tcPr>
                <w:p w14:paraId="4627F703">
                  <w:pPr>
                    <w:pStyle w:val="51"/>
                    <w:bidi w:val="0"/>
                    <w:rPr>
                      <w:color w:val="auto"/>
                    </w:rPr>
                  </w:pPr>
                  <w:r>
                    <w:rPr>
                      <w:color w:val="auto"/>
                    </w:rPr>
                    <w:t>35</w:t>
                  </w:r>
                </w:p>
              </w:tc>
              <w:tc>
                <w:tcPr>
                  <w:tcW w:w="489" w:type="pct"/>
                  <w:tcBorders>
                    <w:tl2br w:val="nil"/>
                    <w:tr2bl w:val="nil"/>
                  </w:tcBorders>
                  <w:shd w:val="clear" w:color="auto" w:fill="auto"/>
                  <w:vAlign w:val="center"/>
                </w:tcPr>
                <w:p w14:paraId="7DBDEF57">
                  <w:pPr>
                    <w:pStyle w:val="51"/>
                    <w:bidi w:val="0"/>
                    <w:rPr>
                      <w:color w:val="auto"/>
                    </w:rPr>
                  </w:pPr>
                  <w:r>
                    <w:rPr>
                      <w:color w:val="auto"/>
                    </w:rPr>
                    <w:t xml:space="preserve">0.0840 </w:t>
                  </w:r>
                </w:p>
              </w:tc>
              <w:tc>
                <w:tcPr>
                  <w:tcW w:w="622" w:type="pct"/>
                  <w:vMerge w:val="continue"/>
                  <w:tcBorders>
                    <w:tl2br w:val="nil"/>
                    <w:tr2bl w:val="nil"/>
                  </w:tcBorders>
                  <w:vAlign w:val="center"/>
                </w:tcPr>
                <w:p w14:paraId="7BF1B9EF">
                  <w:pPr>
                    <w:pStyle w:val="51"/>
                    <w:bidi w:val="0"/>
                    <w:rPr>
                      <w:color w:val="auto"/>
                    </w:rPr>
                  </w:pPr>
                </w:p>
              </w:tc>
              <w:tc>
                <w:tcPr>
                  <w:tcW w:w="355" w:type="pct"/>
                  <w:tcBorders>
                    <w:tl2br w:val="nil"/>
                    <w:tr2bl w:val="nil"/>
                  </w:tcBorders>
                  <w:vAlign w:val="center"/>
                </w:tcPr>
                <w:p w14:paraId="222ED4E4">
                  <w:pPr>
                    <w:pStyle w:val="51"/>
                    <w:bidi w:val="0"/>
                    <w:rPr>
                      <w:color w:val="auto"/>
                    </w:rPr>
                  </w:pPr>
                  <w:r>
                    <w:rPr>
                      <w:color w:val="auto"/>
                    </w:rPr>
                    <w:t>0</w:t>
                  </w:r>
                </w:p>
              </w:tc>
              <w:tc>
                <w:tcPr>
                  <w:tcW w:w="409" w:type="pct"/>
                  <w:vMerge w:val="continue"/>
                  <w:tcBorders>
                    <w:tl2br w:val="nil"/>
                    <w:tr2bl w:val="nil"/>
                  </w:tcBorders>
                  <w:vAlign w:val="center"/>
                </w:tcPr>
                <w:p w14:paraId="027ACE3C">
                  <w:pPr>
                    <w:pStyle w:val="51"/>
                    <w:bidi w:val="0"/>
                    <w:rPr>
                      <w:color w:val="auto"/>
                    </w:rPr>
                  </w:pPr>
                </w:p>
              </w:tc>
              <w:tc>
                <w:tcPr>
                  <w:tcW w:w="418" w:type="pct"/>
                  <w:tcBorders>
                    <w:tl2br w:val="nil"/>
                    <w:tr2bl w:val="nil"/>
                  </w:tcBorders>
                  <w:vAlign w:val="center"/>
                </w:tcPr>
                <w:p w14:paraId="2392C440">
                  <w:pPr>
                    <w:pStyle w:val="51"/>
                    <w:bidi w:val="0"/>
                    <w:rPr>
                      <w:color w:val="auto"/>
                    </w:rPr>
                  </w:pPr>
                  <w:r>
                    <w:rPr>
                      <w:color w:val="auto"/>
                    </w:rPr>
                    <w:t>35</w:t>
                  </w:r>
                </w:p>
              </w:tc>
              <w:tc>
                <w:tcPr>
                  <w:tcW w:w="479" w:type="pct"/>
                  <w:tcBorders>
                    <w:tl2br w:val="nil"/>
                    <w:tr2bl w:val="nil"/>
                  </w:tcBorders>
                  <w:vAlign w:val="center"/>
                </w:tcPr>
                <w:p w14:paraId="445973E2">
                  <w:pPr>
                    <w:pStyle w:val="51"/>
                    <w:bidi w:val="0"/>
                    <w:rPr>
                      <w:color w:val="auto"/>
                    </w:rPr>
                  </w:pPr>
                  <w:r>
                    <w:rPr>
                      <w:color w:val="auto"/>
                    </w:rPr>
                    <w:t xml:space="preserve">0.0840 </w:t>
                  </w:r>
                </w:p>
              </w:tc>
              <w:tc>
                <w:tcPr>
                  <w:tcW w:w="410" w:type="pct"/>
                  <w:vMerge w:val="continue"/>
                  <w:tcBorders>
                    <w:tl2br w:val="nil"/>
                    <w:tr2bl w:val="nil"/>
                  </w:tcBorders>
                  <w:vAlign w:val="center"/>
                </w:tcPr>
                <w:p w14:paraId="6F514538">
                  <w:pPr>
                    <w:pStyle w:val="51"/>
                    <w:rPr>
                      <w:color w:val="auto"/>
                    </w:rPr>
                  </w:pPr>
                </w:p>
              </w:tc>
            </w:tr>
            <w:tr w14:paraId="49C5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7" w:type="pct"/>
                  <w:vMerge w:val="continue"/>
                  <w:tcBorders>
                    <w:tl2br w:val="nil"/>
                    <w:tr2bl w:val="nil"/>
                  </w:tcBorders>
                  <w:vAlign w:val="center"/>
                </w:tcPr>
                <w:p w14:paraId="7284B8E7">
                  <w:pPr>
                    <w:pStyle w:val="51"/>
                    <w:bidi w:val="0"/>
                    <w:rPr>
                      <w:color w:val="auto"/>
                    </w:rPr>
                  </w:pPr>
                </w:p>
              </w:tc>
              <w:tc>
                <w:tcPr>
                  <w:tcW w:w="519" w:type="pct"/>
                  <w:tcBorders>
                    <w:tl2br w:val="nil"/>
                    <w:tr2bl w:val="nil"/>
                  </w:tcBorders>
                  <w:vAlign w:val="center"/>
                </w:tcPr>
                <w:p w14:paraId="2BEF618B">
                  <w:pPr>
                    <w:pStyle w:val="51"/>
                    <w:bidi w:val="0"/>
                    <w:rPr>
                      <w:color w:val="auto"/>
                    </w:rPr>
                  </w:pPr>
                  <w:r>
                    <w:rPr>
                      <w:color w:val="auto"/>
                    </w:rPr>
                    <w:t>TN</w:t>
                  </w:r>
                </w:p>
              </w:tc>
              <w:tc>
                <w:tcPr>
                  <w:tcW w:w="215" w:type="pct"/>
                  <w:vMerge w:val="continue"/>
                  <w:tcBorders>
                    <w:tl2br w:val="nil"/>
                    <w:tr2bl w:val="nil"/>
                  </w:tcBorders>
                  <w:vAlign w:val="center"/>
                </w:tcPr>
                <w:p w14:paraId="22FD18D3">
                  <w:pPr>
                    <w:pStyle w:val="51"/>
                    <w:bidi w:val="0"/>
                    <w:rPr>
                      <w:color w:val="auto"/>
                    </w:rPr>
                  </w:pPr>
                </w:p>
              </w:tc>
              <w:tc>
                <w:tcPr>
                  <w:tcW w:w="409" w:type="pct"/>
                  <w:vMerge w:val="continue"/>
                  <w:tcBorders>
                    <w:tl2br w:val="nil"/>
                    <w:tr2bl w:val="nil"/>
                  </w:tcBorders>
                  <w:vAlign w:val="center"/>
                </w:tcPr>
                <w:p w14:paraId="3A4B653C">
                  <w:pPr>
                    <w:pStyle w:val="51"/>
                    <w:bidi w:val="0"/>
                    <w:rPr>
                      <w:color w:val="auto"/>
                    </w:rPr>
                  </w:pPr>
                </w:p>
              </w:tc>
              <w:tc>
                <w:tcPr>
                  <w:tcW w:w="433" w:type="pct"/>
                  <w:tcBorders>
                    <w:tl2br w:val="nil"/>
                    <w:tr2bl w:val="nil"/>
                  </w:tcBorders>
                  <w:shd w:val="clear" w:color="auto" w:fill="auto"/>
                  <w:vAlign w:val="center"/>
                </w:tcPr>
                <w:p w14:paraId="4FCE14D3">
                  <w:pPr>
                    <w:pStyle w:val="51"/>
                    <w:bidi w:val="0"/>
                    <w:rPr>
                      <w:color w:val="auto"/>
                    </w:rPr>
                  </w:pPr>
                  <w:r>
                    <w:rPr>
                      <w:color w:val="auto"/>
                    </w:rPr>
                    <w:t>45</w:t>
                  </w:r>
                </w:p>
              </w:tc>
              <w:tc>
                <w:tcPr>
                  <w:tcW w:w="489" w:type="pct"/>
                  <w:tcBorders>
                    <w:tl2br w:val="nil"/>
                    <w:tr2bl w:val="nil"/>
                  </w:tcBorders>
                  <w:shd w:val="clear" w:color="auto" w:fill="auto"/>
                  <w:vAlign w:val="center"/>
                </w:tcPr>
                <w:p w14:paraId="5A537722">
                  <w:pPr>
                    <w:pStyle w:val="51"/>
                    <w:bidi w:val="0"/>
                    <w:rPr>
                      <w:color w:val="auto"/>
                    </w:rPr>
                  </w:pPr>
                  <w:r>
                    <w:rPr>
                      <w:color w:val="auto"/>
                    </w:rPr>
                    <w:t xml:space="preserve">0.1080 </w:t>
                  </w:r>
                </w:p>
              </w:tc>
              <w:tc>
                <w:tcPr>
                  <w:tcW w:w="622" w:type="pct"/>
                  <w:vMerge w:val="continue"/>
                  <w:tcBorders>
                    <w:tl2br w:val="nil"/>
                    <w:tr2bl w:val="nil"/>
                  </w:tcBorders>
                  <w:vAlign w:val="center"/>
                </w:tcPr>
                <w:p w14:paraId="0D9A0F2A">
                  <w:pPr>
                    <w:pStyle w:val="51"/>
                    <w:bidi w:val="0"/>
                    <w:rPr>
                      <w:color w:val="auto"/>
                    </w:rPr>
                  </w:pPr>
                </w:p>
              </w:tc>
              <w:tc>
                <w:tcPr>
                  <w:tcW w:w="355" w:type="pct"/>
                  <w:tcBorders>
                    <w:tl2br w:val="nil"/>
                    <w:tr2bl w:val="nil"/>
                  </w:tcBorders>
                  <w:vAlign w:val="center"/>
                </w:tcPr>
                <w:p w14:paraId="083DC31C">
                  <w:pPr>
                    <w:pStyle w:val="51"/>
                    <w:bidi w:val="0"/>
                    <w:rPr>
                      <w:color w:val="auto"/>
                    </w:rPr>
                  </w:pPr>
                  <w:r>
                    <w:rPr>
                      <w:color w:val="auto"/>
                    </w:rPr>
                    <w:t>0</w:t>
                  </w:r>
                </w:p>
              </w:tc>
              <w:tc>
                <w:tcPr>
                  <w:tcW w:w="409" w:type="pct"/>
                  <w:vMerge w:val="continue"/>
                  <w:tcBorders>
                    <w:tl2br w:val="nil"/>
                    <w:tr2bl w:val="nil"/>
                  </w:tcBorders>
                  <w:vAlign w:val="center"/>
                </w:tcPr>
                <w:p w14:paraId="3C1F49A6">
                  <w:pPr>
                    <w:pStyle w:val="51"/>
                    <w:bidi w:val="0"/>
                    <w:rPr>
                      <w:color w:val="auto"/>
                    </w:rPr>
                  </w:pPr>
                </w:p>
              </w:tc>
              <w:tc>
                <w:tcPr>
                  <w:tcW w:w="418" w:type="pct"/>
                  <w:tcBorders>
                    <w:tl2br w:val="nil"/>
                    <w:tr2bl w:val="nil"/>
                  </w:tcBorders>
                  <w:vAlign w:val="center"/>
                </w:tcPr>
                <w:p w14:paraId="15201749">
                  <w:pPr>
                    <w:pStyle w:val="51"/>
                    <w:bidi w:val="0"/>
                    <w:rPr>
                      <w:color w:val="auto"/>
                    </w:rPr>
                  </w:pPr>
                  <w:r>
                    <w:rPr>
                      <w:color w:val="auto"/>
                    </w:rPr>
                    <w:t>45</w:t>
                  </w:r>
                </w:p>
              </w:tc>
              <w:tc>
                <w:tcPr>
                  <w:tcW w:w="479" w:type="pct"/>
                  <w:tcBorders>
                    <w:tl2br w:val="nil"/>
                    <w:tr2bl w:val="nil"/>
                  </w:tcBorders>
                  <w:vAlign w:val="center"/>
                </w:tcPr>
                <w:p w14:paraId="12C8CDE1">
                  <w:pPr>
                    <w:pStyle w:val="51"/>
                    <w:bidi w:val="0"/>
                    <w:rPr>
                      <w:color w:val="auto"/>
                    </w:rPr>
                  </w:pPr>
                  <w:r>
                    <w:rPr>
                      <w:color w:val="auto"/>
                    </w:rPr>
                    <w:t xml:space="preserve">0.1080 </w:t>
                  </w:r>
                </w:p>
              </w:tc>
              <w:tc>
                <w:tcPr>
                  <w:tcW w:w="410" w:type="pct"/>
                  <w:vMerge w:val="continue"/>
                  <w:tcBorders>
                    <w:tl2br w:val="nil"/>
                    <w:tr2bl w:val="nil"/>
                  </w:tcBorders>
                  <w:vAlign w:val="center"/>
                </w:tcPr>
                <w:p w14:paraId="69A1F518">
                  <w:pPr>
                    <w:pStyle w:val="51"/>
                    <w:rPr>
                      <w:color w:val="auto"/>
                    </w:rPr>
                  </w:pPr>
                </w:p>
              </w:tc>
            </w:tr>
            <w:tr w14:paraId="3036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7" w:type="pct"/>
                  <w:vMerge w:val="continue"/>
                  <w:tcBorders>
                    <w:tl2br w:val="nil"/>
                    <w:tr2bl w:val="nil"/>
                  </w:tcBorders>
                  <w:vAlign w:val="center"/>
                </w:tcPr>
                <w:p w14:paraId="3341435B">
                  <w:pPr>
                    <w:pStyle w:val="51"/>
                    <w:bidi w:val="0"/>
                    <w:rPr>
                      <w:color w:val="auto"/>
                    </w:rPr>
                  </w:pPr>
                </w:p>
              </w:tc>
              <w:tc>
                <w:tcPr>
                  <w:tcW w:w="519" w:type="pct"/>
                  <w:tcBorders>
                    <w:tl2br w:val="nil"/>
                    <w:tr2bl w:val="nil"/>
                  </w:tcBorders>
                  <w:vAlign w:val="center"/>
                </w:tcPr>
                <w:p w14:paraId="50F529B9">
                  <w:pPr>
                    <w:pStyle w:val="51"/>
                    <w:bidi w:val="0"/>
                    <w:rPr>
                      <w:color w:val="auto"/>
                    </w:rPr>
                  </w:pPr>
                  <w:r>
                    <w:rPr>
                      <w:color w:val="auto"/>
                    </w:rPr>
                    <w:t>TP</w:t>
                  </w:r>
                </w:p>
              </w:tc>
              <w:tc>
                <w:tcPr>
                  <w:tcW w:w="215" w:type="pct"/>
                  <w:vMerge w:val="continue"/>
                  <w:tcBorders>
                    <w:tl2br w:val="nil"/>
                    <w:tr2bl w:val="nil"/>
                  </w:tcBorders>
                  <w:vAlign w:val="center"/>
                </w:tcPr>
                <w:p w14:paraId="7365C9F8">
                  <w:pPr>
                    <w:pStyle w:val="51"/>
                    <w:bidi w:val="0"/>
                    <w:rPr>
                      <w:color w:val="auto"/>
                    </w:rPr>
                  </w:pPr>
                </w:p>
              </w:tc>
              <w:tc>
                <w:tcPr>
                  <w:tcW w:w="409" w:type="pct"/>
                  <w:vMerge w:val="continue"/>
                  <w:tcBorders>
                    <w:tl2br w:val="nil"/>
                    <w:tr2bl w:val="nil"/>
                  </w:tcBorders>
                  <w:vAlign w:val="center"/>
                </w:tcPr>
                <w:p w14:paraId="51B67ACA">
                  <w:pPr>
                    <w:pStyle w:val="51"/>
                    <w:bidi w:val="0"/>
                    <w:rPr>
                      <w:color w:val="auto"/>
                    </w:rPr>
                  </w:pPr>
                </w:p>
              </w:tc>
              <w:tc>
                <w:tcPr>
                  <w:tcW w:w="433" w:type="pct"/>
                  <w:tcBorders>
                    <w:tl2br w:val="nil"/>
                    <w:tr2bl w:val="nil"/>
                  </w:tcBorders>
                  <w:shd w:val="clear" w:color="auto" w:fill="auto"/>
                  <w:vAlign w:val="center"/>
                </w:tcPr>
                <w:p w14:paraId="17939912">
                  <w:pPr>
                    <w:pStyle w:val="51"/>
                    <w:bidi w:val="0"/>
                    <w:rPr>
                      <w:color w:val="auto"/>
                    </w:rPr>
                  </w:pPr>
                  <w:r>
                    <w:rPr>
                      <w:color w:val="auto"/>
                    </w:rPr>
                    <w:t>3</w:t>
                  </w:r>
                </w:p>
              </w:tc>
              <w:tc>
                <w:tcPr>
                  <w:tcW w:w="489" w:type="pct"/>
                  <w:tcBorders>
                    <w:tl2br w:val="nil"/>
                    <w:tr2bl w:val="nil"/>
                  </w:tcBorders>
                  <w:shd w:val="clear" w:color="auto" w:fill="auto"/>
                  <w:vAlign w:val="center"/>
                </w:tcPr>
                <w:p w14:paraId="305DCBB4">
                  <w:pPr>
                    <w:pStyle w:val="51"/>
                    <w:bidi w:val="0"/>
                    <w:rPr>
                      <w:color w:val="auto"/>
                    </w:rPr>
                  </w:pPr>
                  <w:r>
                    <w:rPr>
                      <w:color w:val="auto"/>
                    </w:rPr>
                    <w:t xml:space="preserve">0.0072 </w:t>
                  </w:r>
                </w:p>
              </w:tc>
              <w:tc>
                <w:tcPr>
                  <w:tcW w:w="622" w:type="pct"/>
                  <w:vMerge w:val="continue"/>
                  <w:tcBorders>
                    <w:tl2br w:val="nil"/>
                    <w:tr2bl w:val="nil"/>
                  </w:tcBorders>
                  <w:vAlign w:val="center"/>
                </w:tcPr>
                <w:p w14:paraId="0C56B039">
                  <w:pPr>
                    <w:pStyle w:val="51"/>
                    <w:bidi w:val="0"/>
                    <w:rPr>
                      <w:color w:val="auto"/>
                    </w:rPr>
                  </w:pPr>
                </w:p>
              </w:tc>
              <w:tc>
                <w:tcPr>
                  <w:tcW w:w="355" w:type="pct"/>
                  <w:tcBorders>
                    <w:tl2br w:val="nil"/>
                    <w:tr2bl w:val="nil"/>
                  </w:tcBorders>
                  <w:vAlign w:val="center"/>
                </w:tcPr>
                <w:p w14:paraId="6C937B67">
                  <w:pPr>
                    <w:pStyle w:val="51"/>
                    <w:bidi w:val="0"/>
                    <w:rPr>
                      <w:color w:val="auto"/>
                    </w:rPr>
                  </w:pPr>
                  <w:r>
                    <w:rPr>
                      <w:color w:val="auto"/>
                    </w:rPr>
                    <w:t>0</w:t>
                  </w:r>
                </w:p>
              </w:tc>
              <w:tc>
                <w:tcPr>
                  <w:tcW w:w="409" w:type="pct"/>
                  <w:vMerge w:val="continue"/>
                  <w:tcBorders>
                    <w:tl2br w:val="nil"/>
                    <w:tr2bl w:val="nil"/>
                  </w:tcBorders>
                  <w:vAlign w:val="center"/>
                </w:tcPr>
                <w:p w14:paraId="7B496C60">
                  <w:pPr>
                    <w:pStyle w:val="51"/>
                    <w:bidi w:val="0"/>
                    <w:rPr>
                      <w:color w:val="auto"/>
                    </w:rPr>
                  </w:pPr>
                </w:p>
              </w:tc>
              <w:tc>
                <w:tcPr>
                  <w:tcW w:w="418" w:type="pct"/>
                  <w:tcBorders>
                    <w:tl2br w:val="nil"/>
                    <w:tr2bl w:val="nil"/>
                  </w:tcBorders>
                  <w:vAlign w:val="center"/>
                </w:tcPr>
                <w:p w14:paraId="1D277AED">
                  <w:pPr>
                    <w:pStyle w:val="51"/>
                    <w:bidi w:val="0"/>
                    <w:rPr>
                      <w:color w:val="auto"/>
                    </w:rPr>
                  </w:pPr>
                  <w:r>
                    <w:rPr>
                      <w:color w:val="auto"/>
                    </w:rPr>
                    <w:t>3</w:t>
                  </w:r>
                </w:p>
              </w:tc>
              <w:tc>
                <w:tcPr>
                  <w:tcW w:w="479" w:type="pct"/>
                  <w:tcBorders>
                    <w:tl2br w:val="nil"/>
                    <w:tr2bl w:val="nil"/>
                  </w:tcBorders>
                  <w:vAlign w:val="center"/>
                </w:tcPr>
                <w:p w14:paraId="55553A57">
                  <w:pPr>
                    <w:pStyle w:val="51"/>
                    <w:bidi w:val="0"/>
                    <w:rPr>
                      <w:color w:val="auto"/>
                    </w:rPr>
                  </w:pPr>
                  <w:r>
                    <w:rPr>
                      <w:color w:val="auto"/>
                    </w:rPr>
                    <w:t xml:space="preserve">0.0072 </w:t>
                  </w:r>
                </w:p>
              </w:tc>
              <w:tc>
                <w:tcPr>
                  <w:tcW w:w="410" w:type="pct"/>
                  <w:vMerge w:val="continue"/>
                  <w:tcBorders>
                    <w:tl2br w:val="nil"/>
                    <w:tr2bl w:val="nil"/>
                  </w:tcBorders>
                  <w:vAlign w:val="center"/>
                </w:tcPr>
                <w:p w14:paraId="45CF814C">
                  <w:pPr>
                    <w:pStyle w:val="51"/>
                    <w:rPr>
                      <w:color w:val="auto"/>
                    </w:rPr>
                  </w:pPr>
                </w:p>
              </w:tc>
            </w:tr>
            <w:tr w14:paraId="21D0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7" w:type="pct"/>
                  <w:vMerge w:val="restart"/>
                  <w:tcBorders>
                    <w:tl2br w:val="nil"/>
                    <w:tr2bl w:val="nil"/>
                  </w:tcBorders>
                  <w:vAlign w:val="center"/>
                </w:tcPr>
                <w:p w14:paraId="5F0B6FE7">
                  <w:pPr>
                    <w:pStyle w:val="51"/>
                    <w:bidi w:val="0"/>
                    <w:rPr>
                      <w:color w:val="auto"/>
                    </w:rPr>
                  </w:pPr>
                  <w:r>
                    <w:rPr>
                      <w:rFonts w:hint="eastAsia"/>
                      <w:color w:val="auto"/>
                    </w:rPr>
                    <w:t>喷水织造</w:t>
                  </w:r>
                </w:p>
              </w:tc>
              <w:tc>
                <w:tcPr>
                  <w:tcW w:w="519" w:type="pct"/>
                  <w:tcBorders>
                    <w:tl2br w:val="nil"/>
                    <w:tr2bl w:val="nil"/>
                  </w:tcBorders>
                  <w:vAlign w:val="center"/>
                </w:tcPr>
                <w:p w14:paraId="46F5EBE4">
                  <w:pPr>
                    <w:pStyle w:val="51"/>
                    <w:bidi w:val="0"/>
                    <w:rPr>
                      <w:color w:val="auto"/>
                    </w:rPr>
                  </w:pPr>
                  <w:r>
                    <w:rPr>
                      <w:rFonts w:hint="eastAsia"/>
                      <w:color w:val="auto"/>
                    </w:rPr>
                    <w:t>COD</w:t>
                  </w:r>
                </w:p>
              </w:tc>
              <w:tc>
                <w:tcPr>
                  <w:tcW w:w="215" w:type="pct"/>
                  <w:vMerge w:val="restart"/>
                  <w:tcBorders>
                    <w:tl2br w:val="nil"/>
                    <w:tr2bl w:val="nil"/>
                  </w:tcBorders>
                  <w:vAlign w:val="center"/>
                </w:tcPr>
                <w:p w14:paraId="08254F98">
                  <w:pPr>
                    <w:pStyle w:val="51"/>
                    <w:bidi w:val="0"/>
                    <w:rPr>
                      <w:color w:val="auto"/>
                    </w:rPr>
                  </w:pPr>
                  <w:r>
                    <w:rPr>
                      <w:color w:val="auto"/>
                    </w:rPr>
                    <w:t>类比法</w:t>
                  </w:r>
                </w:p>
              </w:tc>
              <w:tc>
                <w:tcPr>
                  <w:tcW w:w="409" w:type="pct"/>
                  <w:vMerge w:val="restart"/>
                  <w:tcBorders>
                    <w:tl2br w:val="nil"/>
                    <w:tr2bl w:val="nil"/>
                  </w:tcBorders>
                  <w:vAlign w:val="center"/>
                </w:tcPr>
                <w:p w14:paraId="172FB23A">
                  <w:pPr>
                    <w:pStyle w:val="51"/>
                    <w:bidi w:val="0"/>
                    <w:rPr>
                      <w:color w:val="auto"/>
                    </w:rPr>
                  </w:pPr>
                  <w:r>
                    <w:rPr>
                      <w:rFonts w:hint="eastAsia"/>
                      <w:color w:val="auto"/>
                    </w:rPr>
                    <w:t>972000</w:t>
                  </w:r>
                </w:p>
              </w:tc>
              <w:tc>
                <w:tcPr>
                  <w:tcW w:w="433" w:type="pct"/>
                  <w:tcBorders>
                    <w:tl2br w:val="nil"/>
                    <w:tr2bl w:val="nil"/>
                  </w:tcBorders>
                  <w:shd w:val="clear" w:color="auto" w:fill="auto"/>
                  <w:vAlign w:val="center"/>
                </w:tcPr>
                <w:p w14:paraId="6C8A45CD">
                  <w:pPr>
                    <w:pStyle w:val="51"/>
                    <w:bidi w:val="0"/>
                    <w:rPr>
                      <w:color w:val="auto"/>
                    </w:rPr>
                  </w:pPr>
                  <w:r>
                    <w:rPr>
                      <w:rFonts w:hint="default"/>
                      <w:color w:val="auto"/>
                      <w:lang w:val="en-US" w:eastAsia="zh-CN"/>
                    </w:rPr>
                    <w:t>430</w:t>
                  </w:r>
                </w:p>
              </w:tc>
              <w:tc>
                <w:tcPr>
                  <w:tcW w:w="489" w:type="pct"/>
                  <w:tcBorders>
                    <w:tl2br w:val="nil"/>
                    <w:tr2bl w:val="nil"/>
                  </w:tcBorders>
                  <w:shd w:val="clear" w:color="auto" w:fill="auto"/>
                  <w:vAlign w:val="center"/>
                </w:tcPr>
                <w:p w14:paraId="221218D7">
                  <w:pPr>
                    <w:pStyle w:val="51"/>
                    <w:bidi w:val="0"/>
                    <w:rPr>
                      <w:color w:val="auto"/>
                    </w:rPr>
                  </w:pPr>
                  <w:r>
                    <w:rPr>
                      <w:rFonts w:hint="default"/>
                      <w:color w:val="auto"/>
                      <w:lang w:val="en-US" w:eastAsia="zh-CN"/>
                    </w:rPr>
                    <w:t xml:space="preserve">417.96 </w:t>
                  </w:r>
                </w:p>
              </w:tc>
              <w:tc>
                <w:tcPr>
                  <w:tcW w:w="622" w:type="pct"/>
                  <w:vMerge w:val="restart"/>
                  <w:tcBorders>
                    <w:tl2br w:val="nil"/>
                    <w:tr2bl w:val="nil"/>
                  </w:tcBorders>
                  <w:vAlign w:val="center"/>
                </w:tcPr>
                <w:p w14:paraId="35AADB9A">
                  <w:pPr>
                    <w:pStyle w:val="51"/>
                    <w:bidi w:val="0"/>
                    <w:rPr>
                      <w:color w:val="auto"/>
                    </w:rPr>
                  </w:pPr>
                  <w:r>
                    <w:rPr>
                      <w:rFonts w:hint="eastAsia"/>
                      <w:color w:val="auto"/>
                    </w:rPr>
                    <w:t>污水处理站（格栅+调节+混凝气浮+</w:t>
                  </w:r>
                  <w:r>
                    <w:rPr>
                      <w:rFonts w:hint="eastAsia"/>
                      <w:color w:val="auto"/>
                      <w:lang w:val="en-US" w:eastAsia="zh-CN"/>
                    </w:rPr>
                    <w:t>生化</w:t>
                  </w:r>
                  <w:r>
                    <w:rPr>
                      <w:rFonts w:hint="eastAsia"/>
                      <w:color w:val="auto"/>
                    </w:rPr>
                    <w:t>+二沉+砂滤+碳滤）</w:t>
                  </w:r>
                </w:p>
              </w:tc>
              <w:tc>
                <w:tcPr>
                  <w:tcW w:w="355" w:type="pct"/>
                  <w:tcBorders>
                    <w:tl2br w:val="nil"/>
                    <w:tr2bl w:val="nil"/>
                  </w:tcBorders>
                  <w:vAlign w:val="center"/>
                </w:tcPr>
                <w:p w14:paraId="08AAF671">
                  <w:pPr>
                    <w:pStyle w:val="51"/>
                    <w:bidi w:val="0"/>
                    <w:rPr>
                      <w:color w:val="auto"/>
                    </w:rPr>
                  </w:pPr>
                  <w:r>
                    <w:rPr>
                      <w:rFonts w:hint="default"/>
                      <w:color w:val="auto"/>
                      <w:lang w:val="en-US" w:eastAsia="zh-CN"/>
                    </w:rPr>
                    <w:t>90</w:t>
                  </w:r>
                </w:p>
              </w:tc>
              <w:tc>
                <w:tcPr>
                  <w:tcW w:w="409" w:type="pct"/>
                  <w:vMerge w:val="restart"/>
                  <w:tcBorders>
                    <w:tl2br w:val="nil"/>
                    <w:tr2bl w:val="nil"/>
                  </w:tcBorders>
                  <w:vAlign w:val="center"/>
                </w:tcPr>
                <w:p w14:paraId="52425AF8">
                  <w:pPr>
                    <w:pStyle w:val="51"/>
                    <w:bidi w:val="0"/>
                    <w:rPr>
                      <w:color w:val="auto"/>
                    </w:rPr>
                  </w:pPr>
                  <w:r>
                    <w:rPr>
                      <w:rFonts w:hint="eastAsia"/>
                      <w:color w:val="auto"/>
                    </w:rPr>
                    <w:t>972000</w:t>
                  </w:r>
                </w:p>
              </w:tc>
              <w:tc>
                <w:tcPr>
                  <w:tcW w:w="418" w:type="pct"/>
                  <w:tcBorders>
                    <w:tl2br w:val="nil"/>
                    <w:tr2bl w:val="nil"/>
                  </w:tcBorders>
                  <w:vAlign w:val="center"/>
                </w:tcPr>
                <w:p w14:paraId="43E61553">
                  <w:pPr>
                    <w:pStyle w:val="51"/>
                    <w:bidi w:val="0"/>
                    <w:rPr>
                      <w:color w:val="auto"/>
                    </w:rPr>
                  </w:pPr>
                  <w:r>
                    <w:rPr>
                      <w:rFonts w:hint="default"/>
                      <w:color w:val="auto"/>
                      <w:lang w:val="en-US" w:eastAsia="zh-CN"/>
                    </w:rPr>
                    <w:t xml:space="preserve">45.15 </w:t>
                  </w:r>
                </w:p>
              </w:tc>
              <w:tc>
                <w:tcPr>
                  <w:tcW w:w="479" w:type="pct"/>
                  <w:tcBorders>
                    <w:tl2br w:val="nil"/>
                    <w:tr2bl w:val="nil"/>
                  </w:tcBorders>
                  <w:vAlign w:val="center"/>
                </w:tcPr>
                <w:p w14:paraId="4C619BE6">
                  <w:pPr>
                    <w:pStyle w:val="51"/>
                    <w:bidi w:val="0"/>
                    <w:rPr>
                      <w:color w:val="auto"/>
                    </w:rPr>
                  </w:pPr>
                  <w:r>
                    <w:rPr>
                      <w:rFonts w:hint="default"/>
                      <w:color w:val="auto"/>
                      <w:lang w:val="en-US" w:eastAsia="zh-CN"/>
                    </w:rPr>
                    <w:t xml:space="preserve">43.89 </w:t>
                  </w:r>
                </w:p>
              </w:tc>
              <w:tc>
                <w:tcPr>
                  <w:tcW w:w="410" w:type="pct"/>
                  <w:vMerge w:val="restart"/>
                  <w:tcBorders>
                    <w:tl2br w:val="nil"/>
                    <w:tr2bl w:val="nil"/>
                  </w:tcBorders>
                  <w:vAlign w:val="center"/>
                </w:tcPr>
                <w:p w14:paraId="79A49E0B">
                  <w:pPr>
                    <w:pStyle w:val="51"/>
                    <w:rPr>
                      <w:color w:val="auto"/>
                    </w:rPr>
                  </w:pPr>
                  <w:r>
                    <w:rPr>
                      <w:rFonts w:hint="eastAsia"/>
                      <w:color w:val="auto"/>
                    </w:rPr>
                    <w:t>全部回用于喷水织造</w:t>
                  </w:r>
                </w:p>
              </w:tc>
            </w:tr>
            <w:tr w14:paraId="36F4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7" w:type="pct"/>
                  <w:vMerge w:val="continue"/>
                  <w:tcBorders>
                    <w:tl2br w:val="nil"/>
                    <w:tr2bl w:val="nil"/>
                  </w:tcBorders>
                  <w:vAlign w:val="center"/>
                </w:tcPr>
                <w:p w14:paraId="0B248A07">
                  <w:pPr>
                    <w:pStyle w:val="51"/>
                    <w:bidi w:val="0"/>
                    <w:rPr>
                      <w:color w:val="auto"/>
                    </w:rPr>
                  </w:pPr>
                </w:p>
              </w:tc>
              <w:tc>
                <w:tcPr>
                  <w:tcW w:w="519" w:type="pct"/>
                  <w:tcBorders>
                    <w:tl2br w:val="nil"/>
                    <w:tr2bl w:val="nil"/>
                  </w:tcBorders>
                  <w:vAlign w:val="center"/>
                </w:tcPr>
                <w:p w14:paraId="04636E92">
                  <w:pPr>
                    <w:pStyle w:val="51"/>
                    <w:bidi w:val="0"/>
                    <w:rPr>
                      <w:color w:val="auto"/>
                    </w:rPr>
                  </w:pPr>
                  <w:r>
                    <w:rPr>
                      <w:rFonts w:hint="eastAsia"/>
                      <w:color w:val="auto"/>
                    </w:rPr>
                    <w:t>SS</w:t>
                  </w:r>
                </w:p>
              </w:tc>
              <w:tc>
                <w:tcPr>
                  <w:tcW w:w="215" w:type="pct"/>
                  <w:vMerge w:val="continue"/>
                  <w:tcBorders>
                    <w:tl2br w:val="nil"/>
                    <w:tr2bl w:val="nil"/>
                  </w:tcBorders>
                  <w:vAlign w:val="center"/>
                </w:tcPr>
                <w:p w14:paraId="6879830E">
                  <w:pPr>
                    <w:pStyle w:val="51"/>
                    <w:bidi w:val="0"/>
                    <w:rPr>
                      <w:color w:val="auto"/>
                    </w:rPr>
                  </w:pPr>
                </w:p>
              </w:tc>
              <w:tc>
                <w:tcPr>
                  <w:tcW w:w="409" w:type="pct"/>
                  <w:vMerge w:val="continue"/>
                  <w:tcBorders>
                    <w:tl2br w:val="nil"/>
                    <w:tr2bl w:val="nil"/>
                  </w:tcBorders>
                  <w:vAlign w:val="center"/>
                </w:tcPr>
                <w:p w14:paraId="7CB230D2">
                  <w:pPr>
                    <w:pStyle w:val="51"/>
                    <w:bidi w:val="0"/>
                    <w:rPr>
                      <w:color w:val="auto"/>
                    </w:rPr>
                  </w:pPr>
                </w:p>
              </w:tc>
              <w:tc>
                <w:tcPr>
                  <w:tcW w:w="433" w:type="pct"/>
                  <w:tcBorders>
                    <w:tl2br w:val="nil"/>
                    <w:tr2bl w:val="nil"/>
                  </w:tcBorders>
                  <w:shd w:val="clear" w:color="auto" w:fill="auto"/>
                  <w:vAlign w:val="center"/>
                </w:tcPr>
                <w:p w14:paraId="39922D8D">
                  <w:pPr>
                    <w:pStyle w:val="51"/>
                    <w:bidi w:val="0"/>
                    <w:rPr>
                      <w:color w:val="auto"/>
                    </w:rPr>
                  </w:pPr>
                  <w:r>
                    <w:rPr>
                      <w:rFonts w:hint="default"/>
                      <w:color w:val="auto"/>
                      <w:lang w:val="en-US" w:eastAsia="zh-CN"/>
                    </w:rPr>
                    <w:t>80</w:t>
                  </w:r>
                </w:p>
              </w:tc>
              <w:tc>
                <w:tcPr>
                  <w:tcW w:w="489" w:type="pct"/>
                  <w:tcBorders>
                    <w:tl2br w:val="nil"/>
                    <w:tr2bl w:val="nil"/>
                  </w:tcBorders>
                  <w:shd w:val="clear" w:color="auto" w:fill="auto"/>
                  <w:vAlign w:val="center"/>
                </w:tcPr>
                <w:p w14:paraId="08B2680F">
                  <w:pPr>
                    <w:pStyle w:val="51"/>
                    <w:bidi w:val="0"/>
                    <w:rPr>
                      <w:color w:val="auto"/>
                    </w:rPr>
                  </w:pPr>
                  <w:r>
                    <w:rPr>
                      <w:rFonts w:hint="default"/>
                      <w:color w:val="auto"/>
                      <w:lang w:val="en-US" w:eastAsia="zh-CN"/>
                    </w:rPr>
                    <w:t xml:space="preserve">77.76 </w:t>
                  </w:r>
                </w:p>
              </w:tc>
              <w:tc>
                <w:tcPr>
                  <w:tcW w:w="622" w:type="pct"/>
                  <w:vMerge w:val="continue"/>
                  <w:tcBorders>
                    <w:tl2br w:val="nil"/>
                    <w:tr2bl w:val="nil"/>
                  </w:tcBorders>
                  <w:vAlign w:val="center"/>
                </w:tcPr>
                <w:p w14:paraId="0B96C905">
                  <w:pPr>
                    <w:pStyle w:val="51"/>
                    <w:bidi w:val="0"/>
                    <w:rPr>
                      <w:color w:val="auto"/>
                    </w:rPr>
                  </w:pPr>
                </w:p>
              </w:tc>
              <w:tc>
                <w:tcPr>
                  <w:tcW w:w="355" w:type="pct"/>
                  <w:tcBorders>
                    <w:tl2br w:val="nil"/>
                    <w:tr2bl w:val="nil"/>
                  </w:tcBorders>
                  <w:vAlign w:val="center"/>
                </w:tcPr>
                <w:p w14:paraId="203260EC">
                  <w:pPr>
                    <w:pStyle w:val="51"/>
                    <w:bidi w:val="0"/>
                    <w:rPr>
                      <w:color w:val="auto"/>
                    </w:rPr>
                  </w:pPr>
                  <w:r>
                    <w:rPr>
                      <w:rFonts w:hint="default"/>
                      <w:color w:val="auto"/>
                      <w:lang w:val="en-US" w:eastAsia="zh-CN"/>
                    </w:rPr>
                    <w:t>60</w:t>
                  </w:r>
                </w:p>
              </w:tc>
              <w:tc>
                <w:tcPr>
                  <w:tcW w:w="409" w:type="pct"/>
                  <w:vMerge w:val="continue"/>
                  <w:tcBorders>
                    <w:tl2br w:val="nil"/>
                    <w:tr2bl w:val="nil"/>
                  </w:tcBorders>
                  <w:vAlign w:val="center"/>
                </w:tcPr>
                <w:p w14:paraId="5760ED49">
                  <w:pPr>
                    <w:pStyle w:val="51"/>
                    <w:bidi w:val="0"/>
                    <w:rPr>
                      <w:color w:val="auto"/>
                    </w:rPr>
                  </w:pPr>
                </w:p>
              </w:tc>
              <w:tc>
                <w:tcPr>
                  <w:tcW w:w="418" w:type="pct"/>
                  <w:tcBorders>
                    <w:tl2br w:val="nil"/>
                    <w:tr2bl w:val="nil"/>
                  </w:tcBorders>
                  <w:vAlign w:val="center"/>
                </w:tcPr>
                <w:p w14:paraId="7EFACF56">
                  <w:pPr>
                    <w:pStyle w:val="51"/>
                    <w:bidi w:val="0"/>
                    <w:rPr>
                      <w:color w:val="auto"/>
                    </w:rPr>
                  </w:pPr>
                  <w:r>
                    <w:rPr>
                      <w:rFonts w:hint="default"/>
                      <w:color w:val="auto"/>
                      <w:lang w:val="en-US" w:eastAsia="zh-CN"/>
                    </w:rPr>
                    <w:t xml:space="preserve">31.75 </w:t>
                  </w:r>
                </w:p>
              </w:tc>
              <w:tc>
                <w:tcPr>
                  <w:tcW w:w="479" w:type="pct"/>
                  <w:tcBorders>
                    <w:tl2br w:val="nil"/>
                    <w:tr2bl w:val="nil"/>
                  </w:tcBorders>
                  <w:vAlign w:val="center"/>
                </w:tcPr>
                <w:p w14:paraId="448BFA35">
                  <w:pPr>
                    <w:pStyle w:val="51"/>
                    <w:bidi w:val="0"/>
                    <w:rPr>
                      <w:color w:val="auto"/>
                    </w:rPr>
                  </w:pPr>
                  <w:r>
                    <w:rPr>
                      <w:rFonts w:hint="default"/>
                      <w:color w:val="auto"/>
                      <w:lang w:val="en-US" w:eastAsia="zh-CN"/>
                    </w:rPr>
                    <w:t xml:space="preserve">30.86 </w:t>
                  </w:r>
                </w:p>
              </w:tc>
              <w:tc>
                <w:tcPr>
                  <w:tcW w:w="410" w:type="pct"/>
                  <w:vMerge w:val="continue"/>
                  <w:tcBorders>
                    <w:tl2br w:val="nil"/>
                    <w:tr2bl w:val="nil"/>
                  </w:tcBorders>
                  <w:vAlign w:val="center"/>
                </w:tcPr>
                <w:p w14:paraId="43FE01E7">
                  <w:pPr>
                    <w:pStyle w:val="51"/>
                    <w:rPr>
                      <w:color w:val="auto"/>
                    </w:rPr>
                  </w:pPr>
                </w:p>
              </w:tc>
            </w:tr>
            <w:tr w14:paraId="4E82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7" w:type="pct"/>
                  <w:vMerge w:val="continue"/>
                  <w:tcBorders>
                    <w:tl2br w:val="nil"/>
                    <w:tr2bl w:val="nil"/>
                  </w:tcBorders>
                  <w:vAlign w:val="center"/>
                </w:tcPr>
                <w:p w14:paraId="71BDF60B">
                  <w:pPr>
                    <w:pStyle w:val="51"/>
                    <w:bidi w:val="0"/>
                    <w:rPr>
                      <w:color w:val="auto"/>
                    </w:rPr>
                  </w:pPr>
                </w:p>
              </w:tc>
              <w:tc>
                <w:tcPr>
                  <w:tcW w:w="519" w:type="pct"/>
                  <w:tcBorders>
                    <w:tl2br w:val="nil"/>
                    <w:tr2bl w:val="nil"/>
                  </w:tcBorders>
                  <w:vAlign w:val="center"/>
                </w:tcPr>
                <w:p w14:paraId="48EA22A7">
                  <w:pPr>
                    <w:pStyle w:val="51"/>
                    <w:bidi w:val="0"/>
                    <w:rPr>
                      <w:color w:val="auto"/>
                    </w:rPr>
                  </w:pPr>
                  <w:r>
                    <w:rPr>
                      <w:rFonts w:hint="eastAsia"/>
                      <w:color w:val="auto"/>
                    </w:rPr>
                    <w:t>氨氮</w:t>
                  </w:r>
                </w:p>
              </w:tc>
              <w:tc>
                <w:tcPr>
                  <w:tcW w:w="215" w:type="pct"/>
                  <w:vMerge w:val="continue"/>
                  <w:tcBorders>
                    <w:tl2br w:val="nil"/>
                    <w:tr2bl w:val="nil"/>
                  </w:tcBorders>
                  <w:vAlign w:val="center"/>
                </w:tcPr>
                <w:p w14:paraId="3FBF06E3">
                  <w:pPr>
                    <w:pStyle w:val="51"/>
                    <w:bidi w:val="0"/>
                    <w:rPr>
                      <w:color w:val="auto"/>
                    </w:rPr>
                  </w:pPr>
                </w:p>
              </w:tc>
              <w:tc>
                <w:tcPr>
                  <w:tcW w:w="409" w:type="pct"/>
                  <w:vMerge w:val="continue"/>
                  <w:tcBorders>
                    <w:tl2br w:val="nil"/>
                    <w:tr2bl w:val="nil"/>
                  </w:tcBorders>
                  <w:vAlign w:val="center"/>
                </w:tcPr>
                <w:p w14:paraId="45C40355">
                  <w:pPr>
                    <w:pStyle w:val="51"/>
                    <w:bidi w:val="0"/>
                    <w:rPr>
                      <w:color w:val="auto"/>
                    </w:rPr>
                  </w:pPr>
                </w:p>
              </w:tc>
              <w:tc>
                <w:tcPr>
                  <w:tcW w:w="433" w:type="pct"/>
                  <w:tcBorders>
                    <w:tl2br w:val="nil"/>
                    <w:tr2bl w:val="nil"/>
                  </w:tcBorders>
                  <w:shd w:val="clear" w:color="auto" w:fill="auto"/>
                  <w:vAlign w:val="center"/>
                </w:tcPr>
                <w:p w14:paraId="03954FBC">
                  <w:pPr>
                    <w:pStyle w:val="51"/>
                    <w:bidi w:val="0"/>
                    <w:rPr>
                      <w:color w:val="auto"/>
                    </w:rPr>
                  </w:pPr>
                  <w:r>
                    <w:rPr>
                      <w:rFonts w:hint="default"/>
                      <w:color w:val="auto"/>
                      <w:lang w:val="en-US" w:eastAsia="zh-CN"/>
                    </w:rPr>
                    <w:t>10</w:t>
                  </w:r>
                </w:p>
              </w:tc>
              <w:tc>
                <w:tcPr>
                  <w:tcW w:w="489" w:type="pct"/>
                  <w:tcBorders>
                    <w:tl2br w:val="nil"/>
                    <w:tr2bl w:val="nil"/>
                  </w:tcBorders>
                  <w:shd w:val="clear" w:color="auto" w:fill="auto"/>
                  <w:vAlign w:val="center"/>
                </w:tcPr>
                <w:p w14:paraId="2F721AB4">
                  <w:pPr>
                    <w:pStyle w:val="51"/>
                    <w:bidi w:val="0"/>
                    <w:rPr>
                      <w:color w:val="auto"/>
                    </w:rPr>
                  </w:pPr>
                  <w:r>
                    <w:rPr>
                      <w:rFonts w:hint="default"/>
                      <w:color w:val="auto"/>
                      <w:lang w:val="en-US" w:eastAsia="zh-CN"/>
                    </w:rPr>
                    <w:t xml:space="preserve">9.72 </w:t>
                  </w:r>
                </w:p>
              </w:tc>
              <w:tc>
                <w:tcPr>
                  <w:tcW w:w="622" w:type="pct"/>
                  <w:vMerge w:val="continue"/>
                  <w:tcBorders>
                    <w:tl2br w:val="nil"/>
                    <w:tr2bl w:val="nil"/>
                  </w:tcBorders>
                  <w:vAlign w:val="center"/>
                </w:tcPr>
                <w:p w14:paraId="63185897">
                  <w:pPr>
                    <w:pStyle w:val="51"/>
                    <w:bidi w:val="0"/>
                    <w:rPr>
                      <w:color w:val="auto"/>
                    </w:rPr>
                  </w:pPr>
                </w:p>
              </w:tc>
              <w:tc>
                <w:tcPr>
                  <w:tcW w:w="355" w:type="pct"/>
                  <w:tcBorders>
                    <w:tl2br w:val="nil"/>
                    <w:tr2bl w:val="nil"/>
                  </w:tcBorders>
                  <w:vAlign w:val="center"/>
                </w:tcPr>
                <w:p w14:paraId="55FD77B8">
                  <w:pPr>
                    <w:pStyle w:val="51"/>
                    <w:bidi w:val="0"/>
                    <w:rPr>
                      <w:color w:val="auto"/>
                    </w:rPr>
                  </w:pPr>
                  <w:r>
                    <w:rPr>
                      <w:rFonts w:hint="default"/>
                      <w:color w:val="auto"/>
                      <w:lang w:val="en-US" w:eastAsia="zh-CN"/>
                    </w:rPr>
                    <w:t>51</w:t>
                  </w:r>
                </w:p>
              </w:tc>
              <w:tc>
                <w:tcPr>
                  <w:tcW w:w="409" w:type="pct"/>
                  <w:vMerge w:val="continue"/>
                  <w:tcBorders>
                    <w:tl2br w:val="nil"/>
                    <w:tr2bl w:val="nil"/>
                  </w:tcBorders>
                  <w:vAlign w:val="center"/>
                </w:tcPr>
                <w:p w14:paraId="119F1704">
                  <w:pPr>
                    <w:pStyle w:val="51"/>
                    <w:bidi w:val="0"/>
                    <w:rPr>
                      <w:color w:val="auto"/>
                    </w:rPr>
                  </w:pPr>
                </w:p>
              </w:tc>
              <w:tc>
                <w:tcPr>
                  <w:tcW w:w="418" w:type="pct"/>
                  <w:tcBorders>
                    <w:tl2br w:val="nil"/>
                    <w:tr2bl w:val="nil"/>
                  </w:tcBorders>
                  <w:vAlign w:val="center"/>
                </w:tcPr>
                <w:p w14:paraId="292CA472">
                  <w:pPr>
                    <w:pStyle w:val="51"/>
                    <w:bidi w:val="0"/>
                    <w:rPr>
                      <w:color w:val="auto"/>
                    </w:rPr>
                  </w:pPr>
                  <w:r>
                    <w:rPr>
                      <w:rFonts w:hint="default"/>
                      <w:color w:val="auto"/>
                      <w:lang w:val="en-US" w:eastAsia="zh-CN"/>
                    </w:rPr>
                    <w:t xml:space="preserve">4.90 </w:t>
                  </w:r>
                </w:p>
              </w:tc>
              <w:tc>
                <w:tcPr>
                  <w:tcW w:w="479" w:type="pct"/>
                  <w:tcBorders>
                    <w:tl2br w:val="nil"/>
                    <w:tr2bl w:val="nil"/>
                  </w:tcBorders>
                  <w:vAlign w:val="center"/>
                </w:tcPr>
                <w:p w14:paraId="443A202D">
                  <w:pPr>
                    <w:pStyle w:val="51"/>
                    <w:bidi w:val="0"/>
                    <w:rPr>
                      <w:color w:val="auto"/>
                    </w:rPr>
                  </w:pPr>
                  <w:r>
                    <w:rPr>
                      <w:rFonts w:hint="default"/>
                      <w:color w:val="auto"/>
                      <w:lang w:val="en-US" w:eastAsia="zh-CN"/>
                    </w:rPr>
                    <w:t xml:space="preserve">4.76 </w:t>
                  </w:r>
                </w:p>
              </w:tc>
              <w:tc>
                <w:tcPr>
                  <w:tcW w:w="410" w:type="pct"/>
                  <w:vMerge w:val="continue"/>
                  <w:tcBorders>
                    <w:tl2br w:val="nil"/>
                    <w:tr2bl w:val="nil"/>
                  </w:tcBorders>
                  <w:vAlign w:val="center"/>
                </w:tcPr>
                <w:p w14:paraId="15D4775C">
                  <w:pPr>
                    <w:pStyle w:val="51"/>
                    <w:rPr>
                      <w:color w:val="auto"/>
                    </w:rPr>
                  </w:pPr>
                </w:p>
              </w:tc>
            </w:tr>
            <w:tr w14:paraId="2597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7" w:type="pct"/>
                  <w:vMerge w:val="continue"/>
                  <w:tcBorders>
                    <w:tl2br w:val="nil"/>
                    <w:tr2bl w:val="nil"/>
                  </w:tcBorders>
                  <w:vAlign w:val="center"/>
                </w:tcPr>
                <w:p w14:paraId="6E6A664B">
                  <w:pPr>
                    <w:pStyle w:val="51"/>
                    <w:bidi w:val="0"/>
                    <w:rPr>
                      <w:color w:val="auto"/>
                    </w:rPr>
                  </w:pPr>
                </w:p>
              </w:tc>
              <w:tc>
                <w:tcPr>
                  <w:tcW w:w="519" w:type="pct"/>
                  <w:tcBorders>
                    <w:tl2br w:val="nil"/>
                    <w:tr2bl w:val="nil"/>
                  </w:tcBorders>
                  <w:vAlign w:val="center"/>
                </w:tcPr>
                <w:p w14:paraId="40619E96">
                  <w:pPr>
                    <w:pStyle w:val="51"/>
                    <w:bidi w:val="0"/>
                    <w:rPr>
                      <w:color w:val="auto"/>
                    </w:rPr>
                  </w:pPr>
                  <w:r>
                    <w:rPr>
                      <w:rFonts w:hint="eastAsia"/>
                      <w:color w:val="auto"/>
                    </w:rPr>
                    <w:t>TN</w:t>
                  </w:r>
                </w:p>
              </w:tc>
              <w:tc>
                <w:tcPr>
                  <w:tcW w:w="215" w:type="pct"/>
                  <w:vMerge w:val="continue"/>
                  <w:tcBorders>
                    <w:tl2br w:val="nil"/>
                    <w:tr2bl w:val="nil"/>
                  </w:tcBorders>
                  <w:vAlign w:val="center"/>
                </w:tcPr>
                <w:p w14:paraId="176A6F03">
                  <w:pPr>
                    <w:pStyle w:val="51"/>
                    <w:bidi w:val="0"/>
                    <w:rPr>
                      <w:color w:val="auto"/>
                    </w:rPr>
                  </w:pPr>
                </w:p>
              </w:tc>
              <w:tc>
                <w:tcPr>
                  <w:tcW w:w="409" w:type="pct"/>
                  <w:vMerge w:val="continue"/>
                  <w:tcBorders>
                    <w:tl2br w:val="nil"/>
                    <w:tr2bl w:val="nil"/>
                  </w:tcBorders>
                  <w:vAlign w:val="center"/>
                </w:tcPr>
                <w:p w14:paraId="2482D59E">
                  <w:pPr>
                    <w:pStyle w:val="51"/>
                    <w:bidi w:val="0"/>
                    <w:rPr>
                      <w:color w:val="auto"/>
                    </w:rPr>
                  </w:pPr>
                </w:p>
              </w:tc>
              <w:tc>
                <w:tcPr>
                  <w:tcW w:w="433" w:type="pct"/>
                  <w:tcBorders>
                    <w:tl2br w:val="nil"/>
                    <w:tr2bl w:val="nil"/>
                  </w:tcBorders>
                  <w:shd w:val="clear" w:color="auto" w:fill="auto"/>
                  <w:vAlign w:val="center"/>
                </w:tcPr>
                <w:p w14:paraId="5C3CB794">
                  <w:pPr>
                    <w:pStyle w:val="51"/>
                    <w:bidi w:val="0"/>
                    <w:rPr>
                      <w:color w:val="auto"/>
                    </w:rPr>
                  </w:pPr>
                  <w:r>
                    <w:rPr>
                      <w:rFonts w:hint="default"/>
                      <w:color w:val="auto"/>
                      <w:lang w:val="en-US" w:eastAsia="zh-CN"/>
                    </w:rPr>
                    <w:t>20</w:t>
                  </w:r>
                </w:p>
              </w:tc>
              <w:tc>
                <w:tcPr>
                  <w:tcW w:w="489" w:type="pct"/>
                  <w:tcBorders>
                    <w:tl2br w:val="nil"/>
                    <w:tr2bl w:val="nil"/>
                  </w:tcBorders>
                  <w:shd w:val="clear" w:color="auto" w:fill="auto"/>
                  <w:vAlign w:val="center"/>
                </w:tcPr>
                <w:p w14:paraId="5DD19411">
                  <w:pPr>
                    <w:pStyle w:val="51"/>
                    <w:bidi w:val="0"/>
                    <w:rPr>
                      <w:color w:val="auto"/>
                    </w:rPr>
                  </w:pPr>
                  <w:r>
                    <w:rPr>
                      <w:rFonts w:hint="default"/>
                      <w:color w:val="auto"/>
                      <w:lang w:val="en-US" w:eastAsia="zh-CN"/>
                    </w:rPr>
                    <w:t xml:space="preserve">19.44 </w:t>
                  </w:r>
                </w:p>
              </w:tc>
              <w:tc>
                <w:tcPr>
                  <w:tcW w:w="622" w:type="pct"/>
                  <w:vMerge w:val="continue"/>
                  <w:tcBorders>
                    <w:tl2br w:val="nil"/>
                    <w:tr2bl w:val="nil"/>
                  </w:tcBorders>
                  <w:vAlign w:val="center"/>
                </w:tcPr>
                <w:p w14:paraId="2ADE94CA">
                  <w:pPr>
                    <w:pStyle w:val="51"/>
                    <w:bidi w:val="0"/>
                    <w:rPr>
                      <w:color w:val="auto"/>
                    </w:rPr>
                  </w:pPr>
                </w:p>
              </w:tc>
              <w:tc>
                <w:tcPr>
                  <w:tcW w:w="355" w:type="pct"/>
                  <w:tcBorders>
                    <w:tl2br w:val="nil"/>
                    <w:tr2bl w:val="nil"/>
                  </w:tcBorders>
                  <w:vAlign w:val="center"/>
                </w:tcPr>
                <w:p w14:paraId="2A1913ED">
                  <w:pPr>
                    <w:pStyle w:val="51"/>
                    <w:bidi w:val="0"/>
                    <w:rPr>
                      <w:color w:val="auto"/>
                    </w:rPr>
                  </w:pPr>
                  <w:r>
                    <w:rPr>
                      <w:rFonts w:hint="default"/>
                      <w:color w:val="auto"/>
                      <w:lang w:val="en-US" w:eastAsia="zh-CN"/>
                    </w:rPr>
                    <w:t>48</w:t>
                  </w:r>
                </w:p>
              </w:tc>
              <w:tc>
                <w:tcPr>
                  <w:tcW w:w="409" w:type="pct"/>
                  <w:vMerge w:val="continue"/>
                  <w:tcBorders>
                    <w:tl2br w:val="nil"/>
                    <w:tr2bl w:val="nil"/>
                  </w:tcBorders>
                  <w:vAlign w:val="center"/>
                </w:tcPr>
                <w:p w14:paraId="4F528B19">
                  <w:pPr>
                    <w:pStyle w:val="51"/>
                    <w:bidi w:val="0"/>
                    <w:rPr>
                      <w:color w:val="auto"/>
                    </w:rPr>
                  </w:pPr>
                </w:p>
              </w:tc>
              <w:tc>
                <w:tcPr>
                  <w:tcW w:w="418" w:type="pct"/>
                  <w:tcBorders>
                    <w:tl2br w:val="nil"/>
                    <w:tr2bl w:val="nil"/>
                  </w:tcBorders>
                  <w:vAlign w:val="center"/>
                </w:tcPr>
                <w:p w14:paraId="29B62D44">
                  <w:pPr>
                    <w:pStyle w:val="51"/>
                    <w:bidi w:val="0"/>
                    <w:rPr>
                      <w:color w:val="auto"/>
                    </w:rPr>
                  </w:pPr>
                  <w:r>
                    <w:rPr>
                      <w:rFonts w:hint="default"/>
                      <w:color w:val="auto"/>
                      <w:lang w:val="en-US" w:eastAsia="zh-CN"/>
                    </w:rPr>
                    <w:t xml:space="preserve">10.50 </w:t>
                  </w:r>
                </w:p>
              </w:tc>
              <w:tc>
                <w:tcPr>
                  <w:tcW w:w="479" w:type="pct"/>
                  <w:tcBorders>
                    <w:tl2br w:val="nil"/>
                    <w:tr2bl w:val="nil"/>
                  </w:tcBorders>
                  <w:vAlign w:val="center"/>
                </w:tcPr>
                <w:p w14:paraId="41CDFEC7">
                  <w:pPr>
                    <w:pStyle w:val="51"/>
                    <w:bidi w:val="0"/>
                    <w:rPr>
                      <w:color w:val="auto"/>
                    </w:rPr>
                  </w:pPr>
                  <w:r>
                    <w:rPr>
                      <w:rFonts w:hint="default"/>
                      <w:color w:val="auto"/>
                      <w:lang w:val="en-US" w:eastAsia="zh-CN"/>
                    </w:rPr>
                    <w:t xml:space="preserve">10.21 </w:t>
                  </w:r>
                </w:p>
              </w:tc>
              <w:tc>
                <w:tcPr>
                  <w:tcW w:w="410" w:type="pct"/>
                  <w:vMerge w:val="continue"/>
                  <w:tcBorders>
                    <w:tl2br w:val="nil"/>
                    <w:tr2bl w:val="nil"/>
                  </w:tcBorders>
                  <w:vAlign w:val="center"/>
                </w:tcPr>
                <w:p w14:paraId="4823BF9B">
                  <w:pPr>
                    <w:pStyle w:val="51"/>
                    <w:rPr>
                      <w:color w:val="auto"/>
                    </w:rPr>
                  </w:pPr>
                </w:p>
              </w:tc>
            </w:tr>
            <w:tr w14:paraId="2F9C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7" w:type="pct"/>
                  <w:vMerge w:val="continue"/>
                  <w:tcBorders>
                    <w:tl2br w:val="nil"/>
                    <w:tr2bl w:val="nil"/>
                  </w:tcBorders>
                  <w:vAlign w:val="center"/>
                </w:tcPr>
                <w:p w14:paraId="6307343F">
                  <w:pPr>
                    <w:pStyle w:val="51"/>
                    <w:bidi w:val="0"/>
                    <w:rPr>
                      <w:color w:val="auto"/>
                    </w:rPr>
                  </w:pPr>
                </w:p>
              </w:tc>
              <w:tc>
                <w:tcPr>
                  <w:tcW w:w="519" w:type="pct"/>
                  <w:tcBorders>
                    <w:tl2br w:val="nil"/>
                    <w:tr2bl w:val="nil"/>
                  </w:tcBorders>
                  <w:vAlign w:val="center"/>
                </w:tcPr>
                <w:p w14:paraId="1D3E83BD">
                  <w:pPr>
                    <w:pStyle w:val="51"/>
                    <w:bidi w:val="0"/>
                    <w:rPr>
                      <w:color w:val="auto"/>
                    </w:rPr>
                  </w:pPr>
                  <w:r>
                    <w:rPr>
                      <w:rFonts w:hint="eastAsia"/>
                      <w:color w:val="auto"/>
                    </w:rPr>
                    <w:t>TP</w:t>
                  </w:r>
                </w:p>
              </w:tc>
              <w:tc>
                <w:tcPr>
                  <w:tcW w:w="215" w:type="pct"/>
                  <w:vMerge w:val="continue"/>
                  <w:tcBorders>
                    <w:tl2br w:val="nil"/>
                    <w:tr2bl w:val="nil"/>
                  </w:tcBorders>
                  <w:vAlign w:val="center"/>
                </w:tcPr>
                <w:p w14:paraId="0DDBBE6F">
                  <w:pPr>
                    <w:pStyle w:val="51"/>
                    <w:bidi w:val="0"/>
                    <w:rPr>
                      <w:color w:val="auto"/>
                    </w:rPr>
                  </w:pPr>
                </w:p>
              </w:tc>
              <w:tc>
                <w:tcPr>
                  <w:tcW w:w="409" w:type="pct"/>
                  <w:vMerge w:val="continue"/>
                  <w:tcBorders>
                    <w:tl2br w:val="nil"/>
                    <w:tr2bl w:val="nil"/>
                  </w:tcBorders>
                  <w:vAlign w:val="center"/>
                </w:tcPr>
                <w:p w14:paraId="680EDD95">
                  <w:pPr>
                    <w:pStyle w:val="51"/>
                    <w:bidi w:val="0"/>
                    <w:rPr>
                      <w:color w:val="auto"/>
                    </w:rPr>
                  </w:pPr>
                </w:p>
              </w:tc>
              <w:tc>
                <w:tcPr>
                  <w:tcW w:w="433" w:type="pct"/>
                  <w:tcBorders>
                    <w:tl2br w:val="nil"/>
                    <w:tr2bl w:val="nil"/>
                  </w:tcBorders>
                  <w:shd w:val="clear" w:color="auto" w:fill="auto"/>
                  <w:vAlign w:val="center"/>
                </w:tcPr>
                <w:p w14:paraId="6B9AA5D6">
                  <w:pPr>
                    <w:pStyle w:val="51"/>
                    <w:bidi w:val="0"/>
                    <w:rPr>
                      <w:color w:val="auto"/>
                    </w:rPr>
                  </w:pPr>
                  <w:r>
                    <w:rPr>
                      <w:rFonts w:hint="default"/>
                      <w:color w:val="auto"/>
                      <w:lang w:val="en-US" w:eastAsia="zh-CN"/>
                    </w:rPr>
                    <w:t>1</w:t>
                  </w:r>
                </w:p>
              </w:tc>
              <w:tc>
                <w:tcPr>
                  <w:tcW w:w="489" w:type="pct"/>
                  <w:tcBorders>
                    <w:tl2br w:val="nil"/>
                    <w:tr2bl w:val="nil"/>
                  </w:tcBorders>
                  <w:shd w:val="clear" w:color="auto" w:fill="auto"/>
                  <w:vAlign w:val="center"/>
                </w:tcPr>
                <w:p w14:paraId="551B5437">
                  <w:pPr>
                    <w:pStyle w:val="51"/>
                    <w:bidi w:val="0"/>
                    <w:rPr>
                      <w:color w:val="auto"/>
                    </w:rPr>
                  </w:pPr>
                  <w:r>
                    <w:rPr>
                      <w:rFonts w:hint="default"/>
                      <w:color w:val="auto"/>
                      <w:lang w:val="en-US" w:eastAsia="zh-CN"/>
                    </w:rPr>
                    <w:t xml:space="preserve">0.97 </w:t>
                  </w:r>
                </w:p>
              </w:tc>
              <w:tc>
                <w:tcPr>
                  <w:tcW w:w="622" w:type="pct"/>
                  <w:vMerge w:val="continue"/>
                  <w:tcBorders>
                    <w:tl2br w:val="nil"/>
                    <w:tr2bl w:val="nil"/>
                  </w:tcBorders>
                  <w:vAlign w:val="center"/>
                </w:tcPr>
                <w:p w14:paraId="04FA30DA">
                  <w:pPr>
                    <w:pStyle w:val="51"/>
                    <w:bidi w:val="0"/>
                    <w:rPr>
                      <w:color w:val="auto"/>
                    </w:rPr>
                  </w:pPr>
                </w:p>
              </w:tc>
              <w:tc>
                <w:tcPr>
                  <w:tcW w:w="355" w:type="pct"/>
                  <w:tcBorders>
                    <w:tl2br w:val="nil"/>
                    <w:tr2bl w:val="nil"/>
                  </w:tcBorders>
                  <w:vAlign w:val="center"/>
                </w:tcPr>
                <w:p w14:paraId="2EA9E098">
                  <w:pPr>
                    <w:pStyle w:val="51"/>
                    <w:bidi w:val="0"/>
                    <w:rPr>
                      <w:color w:val="auto"/>
                    </w:rPr>
                  </w:pPr>
                  <w:r>
                    <w:rPr>
                      <w:rFonts w:hint="default"/>
                      <w:color w:val="auto"/>
                      <w:lang w:val="en-US" w:eastAsia="zh-CN"/>
                    </w:rPr>
                    <w:t>51</w:t>
                  </w:r>
                </w:p>
              </w:tc>
              <w:tc>
                <w:tcPr>
                  <w:tcW w:w="409" w:type="pct"/>
                  <w:vMerge w:val="continue"/>
                  <w:tcBorders>
                    <w:tl2br w:val="nil"/>
                    <w:tr2bl w:val="nil"/>
                  </w:tcBorders>
                  <w:vAlign w:val="center"/>
                </w:tcPr>
                <w:p w14:paraId="068E4F89">
                  <w:pPr>
                    <w:pStyle w:val="51"/>
                    <w:bidi w:val="0"/>
                    <w:rPr>
                      <w:color w:val="auto"/>
                    </w:rPr>
                  </w:pPr>
                </w:p>
              </w:tc>
              <w:tc>
                <w:tcPr>
                  <w:tcW w:w="418" w:type="pct"/>
                  <w:tcBorders>
                    <w:tl2br w:val="nil"/>
                    <w:tr2bl w:val="nil"/>
                  </w:tcBorders>
                  <w:vAlign w:val="center"/>
                </w:tcPr>
                <w:p w14:paraId="36804420">
                  <w:pPr>
                    <w:pStyle w:val="51"/>
                    <w:bidi w:val="0"/>
                    <w:rPr>
                      <w:color w:val="auto"/>
                    </w:rPr>
                  </w:pPr>
                  <w:r>
                    <w:rPr>
                      <w:rFonts w:hint="default"/>
                      <w:color w:val="auto"/>
                      <w:lang w:val="en-US" w:eastAsia="zh-CN"/>
                    </w:rPr>
                    <w:t xml:space="preserve">0.49 </w:t>
                  </w:r>
                </w:p>
              </w:tc>
              <w:tc>
                <w:tcPr>
                  <w:tcW w:w="479" w:type="pct"/>
                  <w:tcBorders>
                    <w:tl2br w:val="nil"/>
                    <w:tr2bl w:val="nil"/>
                  </w:tcBorders>
                  <w:vAlign w:val="center"/>
                </w:tcPr>
                <w:p w14:paraId="74A71192">
                  <w:pPr>
                    <w:pStyle w:val="51"/>
                    <w:bidi w:val="0"/>
                    <w:rPr>
                      <w:color w:val="auto"/>
                    </w:rPr>
                  </w:pPr>
                  <w:r>
                    <w:rPr>
                      <w:rFonts w:hint="default"/>
                      <w:color w:val="auto"/>
                      <w:lang w:val="en-US" w:eastAsia="zh-CN"/>
                    </w:rPr>
                    <w:t xml:space="preserve">0.48 </w:t>
                  </w:r>
                </w:p>
              </w:tc>
              <w:tc>
                <w:tcPr>
                  <w:tcW w:w="410" w:type="pct"/>
                  <w:vMerge w:val="continue"/>
                  <w:tcBorders>
                    <w:tl2br w:val="nil"/>
                    <w:tr2bl w:val="nil"/>
                  </w:tcBorders>
                  <w:vAlign w:val="center"/>
                </w:tcPr>
                <w:p w14:paraId="54D40668">
                  <w:pPr>
                    <w:pStyle w:val="51"/>
                    <w:rPr>
                      <w:color w:val="auto"/>
                    </w:rPr>
                  </w:pPr>
                </w:p>
              </w:tc>
            </w:tr>
            <w:tr w14:paraId="2129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7" w:type="pct"/>
                  <w:vMerge w:val="continue"/>
                  <w:tcBorders>
                    <w:tl2br w:val="nil"/>
                    <w:tr2bl w:val="nil"/>
                  </w:tcBorders>
                  <w:vAlign w:val="center"/>
                </w:tcPr>
                <w:p w14:paraId="58DE3D68">
                  <w:pPr>
                    <w:pStyle w:val="51"/>
                    <w:bidi w:val="0"/>
                    <w:rPr>
                      <w:color w:val="auto"/>
                    </w:rPr>
                  </w:pPr>
                </w:p>
              </w:tc>
              <w:tc>
                <w:tcPr>
                  <w:tcW w:w="519" w:type="pct"/>
                  <w:tcBorders>
                    <w:tl2br w:val="nil"/>
                    <w:tr2bl w:val="nil"/>
                  </w:tcBorders>
                  <w:vAlign w:val="center"/>
                </w:tcPr>
                <w:p w14:paraId="56FDC85F">
                  <w:pPr>
                    <w:pStyle w:val="51"/>
                    <w:bidi w:val="0"/>
                    <w:rPr>
                      <w:color w:val="auto"/>
                    </w:rPr>
                  </w:pPr>
                  <w:r>
                    <w:rPr>
                      <w:rFonts w:hint="eastAsia"/>
                      <w:color w:val="auto"/>
                    </w:rPr>
                    <w:t>石油类</w:t>
                  </w:r>
                </w:p>
              </w:tc>
              <w:tc>
                <w:tcPr>
                  <w:tcW w:w="215" w:type="pct"/>
                  <w:vMerge w:val="continue"/>
                  <w:tcBorders>
                    <w:tl2br w:val="nil"/>
                    <w:tr2bl w:val="nil"/>
                  </w:tcBorders>
                  <w:vAlign w:val="center"/>
                </w:tcPr>
                <w:p w14:paraId="62A9504C">
                  <w:pPr>
                    <w:pStyle w:val="51"/>
                    <w:bidi w:val="0"/>
                    <w:rPr>
                      <w:color w:val="auto"/>
                    </w:rPr>
                  </w:pPr>
                </w:p>
              </w:tc>
              <w:tc>
                <w:tcPr>
                  <w:tcW w:w="409" w:type="pct"/>
                  <w:vMerge w:val="continue"/>
                  <w:tcBorders>
                    <w:tl2br w:val="nil"/>
                    <w:tr2bl w:val="nil"/>
                  </w:tcBorders>
                  <w:vAlign w:val="center"/>
                </w:tcPr>
                <w:p w14:paraId="760EB286">
                  <w:pPr>
                    <w:pStyle w:val="51"/>
                    <w:bidi w:val="0"/>
                    <w:rPr>
                      <w:color w:val="auto"/>
                    </w:rPr>
                  </w:pPr>
                </w:p>
              </w:tc>
              <w:tc>
                <w:tcPr>
                  <w:tcW w:w="433" w:type="pct"/>
                  <w:tcBorders>
                    <w:tl2br w:val="nil"/>
                    <w:tr2bl w:val="nil"/>
                  </w:tcBorders>
                  <w:shd w:val="clear" w:color="auto" w:fill="auto"/>
                  <w:vAlign w:val="center"/>
                </w:tcPr>
                <w:p w14:paraId="56047D84">
                  <w:pPr>
                    <w:pStyle w:val="51"/>
                    <w:bidi w:val="0"/>
                    <w:rPr>
                      <w:color w:val="auto"/>
                    </w:rPr>
                  </w:pPr>
                  <w:r>
                    <w:rPr>
                      <w:rFonts w:hint="default"/>
                      <w:color w:val="auto"/>
                      <w:lang w:val="en-US" w:eastAsia="zh-CN"/>
                    </w:rPr>
                    <w:t>4</w:t>
                  </w:r>
                </w:p>
              </w:tc>
              <w:tc>
                <w:tcPr>
                  <w:tcW w:w="489" w:type="pct"/>
                  <w:tcBorders>
                    <w:tl2br w:val="nil"/>
                    <w:tr2bl w:val="nil"/>
                  </w:tcBorders>
                  <w:shd w:val="clear" w:color="auto" w:fill="auto"/>
                  <w:vAlign w:val="center"/>
                </w:tcPr>
                <w:p w14:paraId="6450D15F">
                  <w:pPr>
                    <w:pStyle w:val="51"/>
                    <w:bidi w:val="0"/>
                    <w:rPr>
                      <w:color w:val="auto"/>
                    </w:rPr>
                  </w:pPr>
                  <w:r>
                    <w:rPr>
                      <w:rFonts w:hint="default"/>
                      <w:color w:val="auto"/>
                      <w:lang w:val="en-US" w:eastAsia="zh-CN"/>
                    </w:rPr>
                    <w:t xml:space="preserve">3.89 </w:t>
                  </w:r>
                </w:p>
              </w:tc>
              <w:tc>
                <w:tcPr>
                  <w:tcW w:w="622" w:type="pct"/>
                  <w:vMerge w:val="continue"/>
                  <w:tcBorders>
                    <w:tl2br w:val="nil"/>
                    <w:tr2bl w:val="nil"/>
                  </w:tcBorders>
                  <w:vAlign w:val="center"/>
                </w:tcPr>
                <w:p w14:paraId="46502DAB">
                  <w:pPr>
                    <w:pStyle w:val="51"/>
                    <w:bidi w:val="0"/>
                    <w:rPr>
                      <w:color w:val="auto"/>
                    </w:rPr>
                  </w:pPr>
                </w:p>
              </w:tc>
              <w:tc>
                <w:tcPr>
                  <w:tcW w:w="355" w:type="pct"/>
                  <w:tcBorders>
                    <w:tl2br w:val="nil"/>
                    <w:tr2bl w:val="nil"/>
                  </w:tcBorders>
                  <w:vAlign w:val="center"/>
                </w:tcPr>
                <w:p w14:paraId="2200A87D">
                  <w:pPr>
                    <w:pStyle w:val="51"/>
                    <w:bidi w:val="0"/>
                    <w:rPr>
                      <w:color w:val="auto"/>
                    </w:rPr>
                  </w:pPr>
                  <w:r>
                    <w:rPr>
                      <w:rFonts w:hint="default"/>
                      <w:color w:val="auto"/>
                      <w:lang w:val="en-US" w:eastAsia="zh-CN"/>
                    </w:rPr>
                    <w:t>79</w:t>
                  </w:r>
                </w:p>
              </w:tc>
              <w:tc>
                <w:tcPr>
                  <w:tcW w:w="409" w:type="pct"/>
                  <w:vMerge w:val="continue"/>
                  <w:tcBorders>
                    <w:tl2br w:val="nil"/>
                    <w:tr2bl w:val="nil"/>
                  </w:tcBorders>
                  <w:vAlign w:val="center"/>
                </w:tcPr>
                <w:p w14:paraId="4D64D1CF">
                  <w:pPr>
                    <w:pStyle w:val="51"/>
                    <w:bidi w:val="0"/>
                    <w:rPr>
                      <w:color w:val="auto"/>
                    </w:rPr>
                  </w:pPr>
                </w:p>
              </w:tc>
              <w:tc>
                <w:tcPr>
                  <w:tcW w:w="418" w:type="pct"/>
                  <w:tcBorders>
                    <w:tl2br w:val="nil"/>
                    <w:tr2bl w:val="nil"/>
                  </w:tcBorders>
                  <w:vAlign w:val="center"/>
                </w:tcPr>
                <w:p w14:paraId="2AEAFB5A">
                  <w:pPr>
                    <w:pStyle w:val="51"/>
                    <w:bidi w:val="0"/>
                    <w:rPr>
                      <w:color w:val="auto"/>
                    </w:rPr>
                  </w:pPr>
                  <w:r>
                    <w:rPr>
                      <w:rFonts w:hint="default"/>
                      <w:color w:val="auto"/>
                      <w:lang w:val="en-US" w:eastAsia="zh-CN"/>
                    </w:rPr>
                    <w:t xml:space="preserve">0.84 </w:t>
                  </w:r>
                </w:p>
              </w:tc>
              <w:tc>
                <w:tcPr>
                  <w:tcW w:w="479" w:type="pct"/>
                  <w:tcBorders>
                    <w:tl2br w:val="nil"/>
                    <w:tr2bl w:val="nil"/>
                  </w:tcBorders>
                  <w:vAlign w:val="center"/>
                </w:tcPr>
                <w:p w14:paraId="41A80163">
                  <w:pPr>
                    <w:pStyle w:val="51"/>
                    <w:bidi w:val="0"/>
                    <w:rPr>
                      <w:color w:val="auto"/>
                    </w:rPr>
                  </w:pPr>
                  <w:r>
                    <w:rPr>
                      <w:rFonts w:hint="default"/>
                      <w:color w:val="auto"/>
                      <w:lang w:val="en-US" w:eastAsia="zh-CN"/>
                    </w:rPr>
                    <w:t xml:space="preserve">0.82 </w:t>
                  </w:r>
                </w:p>
              </w:tc>
              <w:tc>
                <w:tcPr>
                  <w:tcW w:w="410" w:type="pct"/>
                  <w:vMerge w:val="continue"/>
                  <w:tcBorders>
                    <w:tl2br w:val="nil"/>
                    <w:tr2bl w:val="nil"/>
                  </w:tcBorders>
                  <w:vAlign w:val="center"/>
                </w:tcPr>
                <w:p w14:paraId="3D97FE41">
                  <w:pPr>
                    <w:pStyle w:val="51"/>
                    <w:rPr>
                      <w:color w:val="auto"/>
                    </w:rPr>
                  </w:pPr>
                </w:p>
              </w:tc>
            </w:tr>
            <w:tr w14:paraId="7ACF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7" w:type="pct"/>
                  <w:vMerge w:val="continue"/>
                  <w:tcBorders>
                    <w:tl2br w:val="nil"/>
                    <w:tr2bl w:val="nil"/>
                  </w:tcBorders>
                  <w:vAlign w:val="center"/>
                </w:tcPr>
                <w:p w14:paraId="202712AC">
                  <w:pPr>
                    <w:pStyle w:val="51"/>
                    <w:bidi w:val="0"/>
                    <w:rPr>
                      <w:color w:val="auto"/>
                    </w:rPr>
                  </w:pPr>
                </w:p>
              </w:tc>
              <w:tc>
                <w:tcPr>
                  <w:tcW w:w="519" w:type="pct"/>
                  <w:tcBorders>
                    <w:tl2br w:val="nil"/>
                    <w:tr2bl w:val="nil"/>
                  </w:tcBorders>
                  <w:vAlign w:val="center"/>
                </w:tcPr>
                <w:p w14:paraId="2E389334">
                  <w:pPr>
                    <w:pStyle w:val="51"/>
                    <w:bidi w:val="0"/>
                    <w:rPr>
                      <w:color w:val="auto"/>
                    </w:rPr>
                  </w:pPr>
                  <w:r>
                    <w:rPr>
                      <w:rFonts w:hint="eastAsia"/>
                      <w:color w:val="auto"/>
                    </w:rPr>
                    <w:t>总锑</w:t>
                  </w:r>
                </w:p>
              </w:tc>
              <w:tc>
                <w:tcPr>
                  <w:tcW w:w="215" w:type="pct"/>
                  <w:vMerge w:val="continue"/>
                  <w:tcBorders>
                    <w:tl2br w:val="nil"/>
                    <w:tr2bl w:val="nil"/>
                  </w:tcBorders>
                  <w:vAlign w:val="center"/>
                </w:tcPr>
                <w:p w14:paraId="681E5C85">
                  <w:pPr>
                    <w:pStyle w:val="51"/>
                    <w:bidi w:val="0"/>
                    <w:rPr>
                      <w:color w:val="auto"/>
                    </w:rPr>
                  </w:pPr>
                </w:p>
              </w:tc>
              <w:tc>
                <w:tcPr>
                  <w:tcW w:w="409" w:type="pct"/>
                  <w:vMerge w:val="continue"/>
                  <w:tcBorders>
                    <w:tl2br w:val="nil"/>
                    <w:tr2bl w:val="nil"/>
                  </w:tcBorders>
                  <w:vAlign w:val="center"/>
                </w:tcPr>
                <w:p w14:paraId="031E3984">
                  <w:pPr>
                    <w:pStyle w:val="51"/>
                    <w:bidi w:val="0"/>
                    <w:rPr>
                      <w:color w:val="auto"/>
                    </w:rPr>
                  </w:pPr>
                </w:p>
              </w:tc>
              <w:tc>
                <w:tcPr>
                  <w:tcW w:w="433" w:type="pct"/>
                  <w:tcBorders>
                    <w:tl2br w:val="nil"/>
                    <w:tr2bl w:val="nil"/>
                  </w:tcBorders>
                  <w:shd w:val="clear" w:color="auto" w:fill="auto"/>
                  <w:vAlign w:val="center"/>
                </w:tcPr>
                <w:p w14:paraId="2817BE98">
                  <w:pPr>
                    <w:pStyle w:val="51"/>
                    <w:bidi w:val="0"/>
                    <w:rPr>
                      <w:color w:val="auto"/>
                    </w:rPr>
                  </w:pPr>
                  <w:r>
                    <w:rPr>
                      <w:rFonts w:hint="default"/>
                      <w:color w:val="auto"/>
                      <w:lang w:val="en-US" w:eastAsia="zh-CN"/>
                    </w:rPr>
                    <w:t>0.15</w:t>
                  </w:r>
                </w:p>
              </w:tc>
              <w:tc>
                <w:tcPr>
                  <w:tcW w:w="489" w:type="pct"/>
                  <w:tcBorders>
                    <w:tl2br w:val="nil"/>
                    <w:tr2bl w:val="nil"/>
                  </w:tcBorders>
                  <w:shd w:val="clear" w:color="auto" w:fill="auto"/>
                  <w:vAlign w:val="center"/>
                </w:tcPr>
                <w:p w14:paraId="0539DF37">
                  <w:pPr>
                    <w:pStyle w:val="51"/>
                    <w:bidi w:val="0"/>
                    <w:rPr>
                      <w:color w:val="auto"/>
                    </w:rPr>
                  </w:pPr>
                  <w:r>
                    <w:rPr>
                      <w:rFonts w:hint="default"/>
                      <w:color w:val="auto"/>
                      <w:lang w:val="en-US" w:eastAsia="zh-CN"/>
                    </w:rPr>
                    <w:t xml:space="preserve">0.15 </w:t>
                  </w:r>
                </w:p>
              </w:tc>
              <w:tc>
                <w:tcPr>
                  <w:tcW w:w="622" w:type="pct"/>
                  <w:vMerge w:val="continue"/>
                  <w:tcBorders>
                    <w:tl2br w:val="nil"/>
                    <w:tr2bl w:val="nil"/>
                  </w:tcBorders>
                  <w:vAlign w:val="center"/>
                </w:tcPr>
                <w:p w14:paraId="5A16D13F">
                  <w:pPr>
                    <w:pStyle w:val="51"/>
                    <w:bidi w:val="0"/>
                    <w:rPr>
                      <w:color w:val="auto"/>
                    </w:rPr>
                  </w:pPr>
                </w:p>
              </w:tc>
              <w:tc>
                <w:tcPr>
                  <w:tcW w:w="355" w:type="pct"/>
                  <w:tcBorders>
                    <w:tl2br w:val="nil"/>
                    <w:tr2bl w:val="nil"/>
                  </w:tcBorders>
                  <w:vAlign w:val="center"/>
                </w:tcPr>
                <w:p w14:paraId="1EC5426D">
                  <w:pPr>
                    <w:pStyle w:val="51"/>
                    <w:bidi w:val="0"/>
                    <w:rPr>
                      <w:color w:val="auto"/>
                    </w:rPr>
                  </w:pPr>
                  <w:r>
                    <w:rPr>
                      <w:rFonts w:hint="default"/>
                      <w:color w:val="auto"/>
                      <w:lang w:val="en-US" w:eastAsia="zh-CN"/>
                    </w:rPr>
                    <w:t>50</w:t>
                  </w:r>
                </w:p>
              </w:tc>
              <w:tc>
                <w:tcPr>
                  <w:tcW w:w="409" w:type="pct"/>
                  <w:vMerge w:val="continue"/>
                  <w:tcBorders>
                    <w:tl2br w:val="nil"/>
                    <w:tr2bl w:val="nil"/>
                  </w:tcBorders>
                  <w:vAlign w:val="center"/>
                </w:tcPr>
                <w:p w14:paraId="4327CFA1">
                  <w:pPr>
                    <w:pStyle w:val="51"/>
                    <w:bidi w:val="0"/>
                    <w:rPr>
                      <w:color w:val="auto"/>
                    </w:rPr>
                  </w:pPr>
                </w:p>
              </w:tc>
              <w:tc>
                <w:tcPr>
                  <w:tcW w:w="418" w:type="pct"/>
                  <w:tcBorders>
                    <w:tl2br w:val="nil"/>
                    <w:tr2bl w:val="nil"/>
                  </w:tcBorders>
                  <w:vAlign w:val="center"/>
                </w:tcPr>
                <w:p w14:paraId="625EB29C">
                  <w:pPr>
                    <w:pStyle w:val="51"/>
                    <w:bidi w:val="0"/>
                    <w:rPr>
                      <w:color w:val="auto"/>
                    </w:rPr>
                  </w:pPr>
                  <w:r>
                    <w:rPr>
                      <w:rFonts w:hint="default"/>
                      <w:color w:val="auto"/>
                      <w:lang w:val="en-US" w:eastAsia="zh-CN"/>
                    </w:rPr>
                    <w:t xml:space="preserve">0.08 </w:t>
                  </w:r>
                </w:p>
              </w:tc>
              <w:tc>
                <w:tcPr>
                  <w:tcW w:w="479" w:type="pct"/>
                  <w:tcBorders>
                    <w:tl2br w:val="nil"/>
                    <w:tr2bl w:val="nil"/>
                  </w:tcBorders>
                  <w:vAlign w:val="center"/>
                </w:tcPr>
                <w:p w14:paraId="39A73EB0">
                  <w:pPr>
                    <w:pStyle w:val="51"/>
                    <w:bidi w:val="0"/>
                    <w:rPr>
                      <w:color w:val="auto"/>
                    </w:rPr>
                  </w:pPr>
                  <w:r>
                    <w:rPr>
                      <w:rFonts w:hint="default"/>
                      <w:color w:val="auto"/>
                      <w:lang w:val="en-US" w:eastAsia="zh-CN"/>
                    </w:rPr>
                    <w:t xml:space="preserve">0.07 </w:t>
                  </w:r>
                </w:p>
              </w:tc>
              <w:tc>
                <w:tcPr>
                  <w:tcW w:w="410" w:type="pct"/>
                  <w:vMerge w:val="continue"/>
                  <w:tcBorders>
                    <w:tl2br w:val="nil"/>
                    <w:tr2bl w:val="nil"/>
                  </w:tcBorders>
                  <w:vAlign w:val="center"/>
                </w:tcPr>
                <w:p w14:paraId="0E53ACF4">
                  <w:pPr>
                    <w:pStyle w:val="51"/>
                    <w:rPr>
                      <w:color w:val="auto"/>
                    </w:rPr>
                  </w:pPr>
                </w:p>
              </w:tc>
            </w:tr>
          </w:tbl>
          <w:p w14:paraId="117FE65D">
            <w:pPr>
              <w:pStyle w:val="47"/>
              <w:ind w:firstLine="482"/>
              <w:rPr>
                <w:b/>
                <w:bCs/>
                <w:color w:val="auto"/>
              </w:rPr>
            </w:pPr>
            <w:r>
              <w:rPr>
                <w:b/>
                <w:bCs/>
                <w:color w:val="auto"/>
              </w:rPr>
              <w:t>（2）废水排放口基本情况</w:t>
            </w:r>
            <w:r>
              <w:rPr>
                <w:b/>
                <w:bCs/>
                <w:color w:val="auto"/>
              </w:rPr>
              <w:tab/>
            </w:r>
          </w:p>
          <w:p w14:paraId="064C3C24">
            <w:pPr>
              <w:pStyle w:val="47"/>
              <w:ind w:firstLine="480"/>
              <w:rPr>
                <w:color w:val="auto"/>
              </w:rPr>
            </w:pPr>
            <w:r>
              <w:rPr>
                <w:color w:val="auto"/>
              </w:rPr>
              <w:t>本项目废水类别、污染物及污染治理设施信息见</w:t>
            </w:r>
            <w:r>
              <w:rPr>
                <w:color w:val="auto"/>
              </w:rPr>
              <w:fldChar w:fldCharType="begin"/>
            </w:r>
            <w:r>
              <w:rPr>
                <w:color w:val="auto"/>
              </w:rPr>
              <w:instrText xml:space="preserve"> REF _Ref9352 \h </w:instrText>
            </w:r>
            <w:r>
              <w:rPr>
                <w:color w:val="auto"/>
              </w:rPr>
              <w:fldChar w:fldCharType="separate"/>
            </w:r>
            <w:r>
              <w:rPr>
                <w:color w:val="auto"/>
              </w:rPr>
              <w:t>表4- 11</w:t>
            </w:r>
            <w:r>
              <w:rPr>
                <w:color w:val="auto"/>
              </w:rPr>
              <w:fldChar w:fldCharType="end"/>
            </w:r>
            <w:r>
              <w:rPr>
                <w:color w:val="auto"/>
              </w:rPr>
              <w:t>，厂区污水排放口基本信息见</w:t>
            </w:r>
            <w:r>
              <w:rPr>
                <w:color w:val="auto"/>
              </w:rPr>
              <w:fldChar w:fldCharType="begin"/>
            </w:r>
            <w:r>
              <w:rPr>
                <w:color w:val="auto"/>
              </w:rPr>
              <w:instrText xml:space="preserve"> REF _Ref21741 \h </w:instrText>
            </w:r>
            <w:r>
              <w:rPr>
                <w:color w:val="auto"/>
              </w:rPr>
              <w:fldChar w:fldCharType="separate"/>
            </w:r>
            <w:r>
              <w:rPr>
                <w:color w:val="auto"/>
              </w:rPr>
              <w:t>表4- 12</w:t>
            </w:r>
            <w:r>
              <w:rPr>
                <w:color w:val="auto"/>
              </w:rPr>
              <w:fldChar w:fldCharType="end"/>
            </w:r>
            <w:r>
              <w:rPr>
                <w:color w:val="auto"/>
              </w:rPr>
              <w:t>。</w:t>
            </w:r>
          </w:p>
          <w:p w14:paraId="0E6698A1">
            <w:pPr>
              <w:pStyle w:val="7"/>
              <w:rPr>
                <w:color w:val="auto"/>
              </w:rPr>
            </w:pPr>
            <w:bookmarkStart w:id="60" w:name="_Ref4753"/>
            <w:bookmarkStart w:id="61" w:name="_Ref428"/>
            <w:bookmarkStart w:id="62" w:name="_Ref9352"/>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11</w:t>
            </w:r>
            <w:r>
              <w:rPr>
                <w:color w:val="auto"/>
              </w:rPr>
              <w:fldChar w:fldCharType="end"/>
            </w:r>
            <w:bookmarkEnd w:id="60"/>
            <w:bookmarkEnd w:id="61"/>
            <w:bookmarkEnd w:id="62"/>
            <w:r>
              <w:rPr>
                <w:color w:val="auto"/>
              </w:rPr>
              <w:t xml:space="preserve"> 废水类别、污染物及污染治理设施信息表</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093"/>
              <w:gridCol w:w="679"/>
              <w:gridCol w:w="921"/>
              <w:gridCol w:w="907"/>
              <w:gridCol w:w="858"/>
              <w:gridCol w:w="1122"/>
              <w:gridCol w:w="862"/>
              <w:gridCol w:w="662"/>
              <w:gridCol w:w="647"/>
            </w:tblGrid>
            <w:tr w14:paraId="58E0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01" w:type="pct"/>
                  <w:vMerge w:val="restart"/>
                  <w:tcBorders>
                    <w:tl2br w:val="nil"/>
                    <w:tr2bl w:val="nil"/>
                  </w:tcBorders>
                  <w:vAlign w:val="center"/>
                </w:tcPr>
                <w:p w14:paraId="4E007C78">
                  <w:pPr>
                    <w:pStyle w:val="49"/>
                    <w:rPr>
                      <w:color w:val="auto"/>
                    </w:rPr>
                  </w:pPr>
                  <w:r>
                    <w:rPr>
                      <w:color w:val="auto"/>
                    </w:rPr>
                    <w:t>废水类别</w:t>
                  </w:r>
                </w:p>
              </w:tc>
              <w:tc>
                <w:tcPr>
                  <w:tcW w:w="648" w:type="pct"/>
                  <w:vMerge w:val="restart"/>
                  <w:tcBorders>
                    <w:tl2br w:val="nil"/>
                    <w:tr2bl w:val="nil"/>
                  </w:tcBorders>
                  <w:vAlign w:val="center"/>
                </w:tcPr>
                <w:p w14:paraId="780913BB">
                  <w:pPr>
                    <w:pStyle w:val="49"/>
                    <w:rPr>
                      <w:color w:val="auto"/>
                    </w:rPr>
                  </w:pPr>
                  <w:r>
                    <w:rPr>
                      <w:color w:val="auto"/>
                    </w:rPr>
                    <w:t>污染物种类</w:t>
                  </w:r>
                </w:p>
              </w:tc>
              <w:tc>
                <w:tcPr>
                  <w:tcW w:w="402" w:type="pct"/>
                  <w:vMerge w:val="restart"/>
                  <w:tcBorders>
                    <w:tl2br w:val="nil"/>
                    <w:tr2bl w:val="nil"/>
                  </w:tcBorders>
                  <w:vAlign w:val="center"/>
                </w:tcPr>
                <w:p w14:paraId="0A638367">
                  <w:pPr>
                    <w:pStyle w:val="49"/>
                    <w:rPr>
                      <w:color w:val="auto"/>
                    </w:rPr>
                  </w:pPr>
                  <w:r>
                    <w:rPr>
                      <w:color w:val="auto"/>
                    </w:rPr>
                    <w:t>排放去向</w:t>
                  </w:r>
                </w:p>
              </w:tc>
              <w:tc>
                <w:tcPr>
                  <w:tcW w:w="546" w:type="pct"/>
                  <w:vMerge w:val="restart"/>
                  <w:tcBorders>
                    <w:tl2br w:val="nil"/>
                    <w:tr2bl w:val="nil"/>
                  </w:tcBorders>
                  <w:vAlign w:val="center"/>
                </w:tcPr>
                <w:p w14:paraId="16E92999">
                  <w:pPr>
                    <w:pStyle w:val="49"/>
                    <w:rPr>
                      <w:color w:val="auto"/>
                    </w:rPr>
                  </w:pPr>
                  <w:r>
                    <w:rPr>
                      <w:color w:val="auto"/>
                    </w:rPr>
                    <w:t>排放规律</w:t>
                  </w:r>
                </w:p>
              </w:tc>
              <w:tc>
                <w:tcPr>
                  <w:tcW w:w="1712" w:type="pct"/>
                  <w:gridSpan w:val="3"/>
                  <w:tcBorders>
                    <w:tl2br w:val="nil"/>
                    <w:tr2bl w:val="nil"/>
                  </w:tcBorders>
                  <w:vAlign w:val="center"/>
                </w:tcPr>
                <w:p w14:paraId="62364876">
                  <w:pPr>
                    <w:pStyle w:val="49"/>
                    <w:rPr>
                      <w:color w:val="auto"/>
                    </w:rPr>
                  </w:pPr>
                  <w:r>
                    <w:rPr>
                      <w:color w:val="auto"/>
                    </w:rPr>
                    <w:t>污染治理设施</w:t>
                  </w:r>
                </w:p>
              </w:tc>
              <w:tc>
                <w:tcPr>
                  <w:tcW w:w="511" w:type="pct"/>
                  <w:vMerge w:val="restart"/>
                  <w:tcBorders>
                    <w:tl2br w:val="nil"/>
                    <w:tr2bl w:val="nil"/>
                  </w:tcBorders>
                  <w:vAlign w:val="center"/>
                </w:tcPr>
                <w:p w14:paraId="074CF72B">
                  <w:pPr>
                    <w:pStyle w:val="49"/>
                    <w:rPr>
                      <w:color w:val="auto"/>
                    </w:rPr>
                  </w:pPr>
                  <w:r>
                    <w:rPr>
                      <w:color w:val="auto"/>
                    </w:rPr>
                    <w:t>排放口编号</w:t>
                  </w:r>
                </w:p>
              </w:tc>
              <w:tc>
                <w:tcPr>
                  <w:tcW w:w="392" w:type="pct"/>
                  <w:vMerge w:val="restart"/>
                  <w:tcBorders>
                    <w:tl2br w:val="nil"/>
                    <w:tr2bl w:val="nil"/>
                  </w:tcBorders>
                  <w:vAlign w:val="center"/>
                </w:tcPr>
                <w:p w14:paraId="1C2CBBEF">
                  <w:pPr>
                    <w:pStyle w:val="49"/>
                    <w:rPr>
                      <w:color w:val="auto"/>
                    </w:rPr>
                  </w:pPr>
                  <w:r>
                    <w:rPr>
                      <w:color w:val="auto"/>
                    </w:rPr>
                    <w:t>排放口设置是否满足要求</w:t>
                  </w:r>
                </w:p>
              </w:tc>
              <w:tc>
                <w:tcPr>
                  <w:tcW w:w="383" w:type="pct"/>
                  <w:vMerge w:val="restart"/>
                  <w:tcBorders>
                    <w:tl2br w:val="nil"/>
                    <w:tr2bl w:val="nil"/>
                  </w:tcBorders>
                  <w:vAlign w:val="center"/>
                </w:tcPr>
                <w:p w14:paraId="6EC0C487">
                  <w:pPr>
                    <w:pStyle w:val="49"/>
                    <w:rPr>
                      <w:color w:val="auto"/>
                    </w:rPr>
                  </w:pPr>
                  <w:r>
                    <w:rPr>
                      <w:color w:val="auto"/>
                    </w:rPr>
                    <w:t>排放口类型</w:t>
                  </w:r>
                </w:p>
              </w:tc>
            </w:tr>
            <w:tr w14:paraId="2B57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1" w:type="pct"/>
                  <w:vMerge w:val="continue"/>
                  <w:tcBorders>
                    <w:tl2br w:val="nil"/>
                    <w:tr2bl w:val="nil"/>
                  </w:tcBorders>
                  <w:vAlign w:val="center"/>
                </w:tcPr>
                <w:p w14:paraId="43684780">
                  <w:pPr>
                    <w:pStyle w:val="49"/>
                    <w:rPr>
                      <w:color w:val="auto"/>
                    </w:rPr>
                  </w:pPr>
                </w:p>
              </w:tc>
              <w:tc>
                <w:tcPr>
                  <w:tcW w:w="648" w:type="pct"/>
                  <w:vMerge w:val="continue"/>
                  <w:tcBorders>
                    <w:tl2br w:val="nil"/>
                    <w:tr2bl w:val="nil"/>
                  </w:tcBorders>
                  <w:vAlign w:val="center"/>
                </w:tcPr>
                <w:p w14:paraId="103217D2">
                  <w:pPr>
                    <w:pStyle w:val="49"/>
                    <w:rPr>
                      <w:color w:val="auto"/>
                    </w:rPr>
                  </w:pPr>
                </w:p>
              </w:tc>
              <w:tc>
                <w:tcPr>
                  <w:tcW w:w="402" w:type="pct"/>
                  <w:vMerge w:val="continue"/>
                  <w:tcBorders>
                    <w:tl2br w:val="nil"/>
                    <w:tr2bl w:val="nil"/>
                  </w:tcBorders>
                  <w:vAlign w:val="center"/>
                </w:tcPr>
                <w:p w14:paraId="70D74B43">
                  <w:pPr>
                    <w:pStyle w:val="49"/>
                    <w:rPr>
                      <w:color w:val="auto"/>
                    </w:rPr>
                  </w:pPr>
                </w:p>
              </w:tc>
              <w:tc>
                <w:tcPr>
                  <w:tcW w:w="546" w:type="pct"/>
                  <w:vMerge w:val="continue"/>
                  <w:tcBorders>
                    <w:tl2br w:val="nil"/>
                    <w:tr2bl w:val="nil"/>
                  </w:tcBorders>
                  <w:vAlign w:val="center"/>
                </w:tcPr>
                <w:p w14:paraId="05896F10">
                  <w:pPr>
                    <w:pStyle w:val="49"/>
                    <w:rPr>
                      <w:color w:val="auto"/>
                    </w:rPr>
                  </w:pPr>
                </w:p>
              </w:tc>
              <w:tc>
                <w:tcPr>
                  <w:tcW w:w="538" w:type="pct"/>
                  <w:tcBorders>
                    <w:tl2br w:val="nil"/>
                    <w:tr2bl w:val="nil"/>
                  </w:tcBorders>
                  <w:vAlign w:val="center"/>
                </w:tcPr>
                <w:p w14:paraId="14BA5D77">
                  <w:pPr>
                    <w:pStyle w:val="49"/>
                    <w:rPr>
                      <w:color w:val="auto"/>
                    </w:rPr>
                  </w:pPr>
                  <w:r>
                    <w:rPr>
                      <w:color w:val="auto"/>
                    </w:rPr>
                    <w:t>污染治理设施编号</w:t>
                  </w:r>
                </w:p>
              </w:tc>
              <w:tc>
                <w:tcPr>
                  <w:tcW w:w="509" w:type="pct"/>
                  <w:tcBorders>
                    <w:tl2br w:val="nil"/>
                    <w:tr2bl w:val="nil"/>
                  </w:tcBorders>
                  <w:vAlign w:val="center"/>
                </w:tcPr>
                <w:p w14:paraId="581C1A5A">
                  <w:pPr>
                    <w:pStyle w:val="49"/>
                    <w:rPr>
                      <w:color w:val="auto"/>
                    </w:rPr>
                  </w:pPr>
                  <w:r>
                    <w:rPr>
                      <w:color w:val="auto"/>
                    </w:rPr>
                    <w:t>污染治理设施名称</w:t>
                  </w:r>
                </w:p>
              </w:tc>
              <w:tc>
                <w:tcPr>
                  <w:tcW w:w="665" w:type="pct"/>
                  <w:tcBorders>
                    <w:tl2br w:val="nil"/>
                    <w:tr2bl w:val="nil"/>
                  </w:tcBorders>
                  <w:vAlign w:val="center"/>
                </w:tcPr>
                <w:p w14:paraId="7F3E3D36">
                  <w:pPr>
                    <w:pStyle w:val="49"/>
                    <w:rPr>
                      <w:color w:val="auto"/>
                    </w:rPr>
                  </w:pPr>
                  <w:r>
                    <w:rPr>
                      <w:color w:val="auto"/>
                    </w:rPr>
                    <w:t>污染治理设施工艺</w:t>
                  </w:r>
                </w:p>
              </w:tc>
              <w:tc>
                <w:tcPr>
                  <w:tcW w:w="511" w:type="pct"/>
                  <w:vMerge w:val="continue"/>
                  <w:tcBorders>
                    <w:tl2br w:val="nil"/>
                    <w:tr2bl w:val="nil"/>
                  </w:tcBorders>
                  <w:vAlign w:val="center"/>
                </w:tcPr>
                <w:p w14:paraId="27A133D0">
                  <w:pPr>
                    <w:rPr>
                      <w:color w:val="auto"/>
                    </w:rPr>
                  </w:pPr>
                </w:p>
              </w:tc>
              <w:tc>
                <w:tcPr>
                  <w:tcW w:w="392" w:type="pct"/>
                  <w:vMerge w:val="continue"/>
                  <w:tcBorders>
                    <w:tl2br w:val="nil"/>
                    <w:tr2bl w:val="nil"/>
                  </w:tcBorders>
                  <w:vAlign w:val="center"/>
                </w:tcPr>
                <w:p w14:paraId="28445331">
                  <w:pPr>
                    <w:rPr>
                      <w:color w:val="auto"/>
                    </w:rPr>
                  </w:pPr>
                </w:p>
              </w:tc>
              <w:tc>
                <w:tcPr>
                  <w:tcW w:w="383" w:type="pct"/>
                  <w:vMerge w:val="continue"/>
                  <w:tcBorders>
                    <w:tl2br w:val="nil"/>
                    <w:tr2bl w:val="nil"/>
                  </w:tcBorders>
                  <w:vAlign w:val="center"/>
                </w:tcPr>
                <w:p w14:paraId="3195D33E">
                  <w:pPr>
                    <w:rPr>
                      <w:color w:val="auto"/>
                    </w:rPr>
                  </w:pPr>
                </w:p>
              </w:tc>
            </w:tr>
            <w:tr w14:paraId="3828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1" w:type="pct"/>
                  <w:tcBorders>
                    <w:tl2br w:val="nil"/>
                    <w:tr2bl w:val="nil"/>
                  </w:tcBorders>
                  <w:vAlign w:val="center"/>
                </w:tcPr>
                <w:p w14:paraId="1C3878B0">
                  <w:pPr>
                    <w:pStyle w:val="51"/>
                    <w:rPr>
                      <w:color w:val="auto"/>
                    </w:rPr>
                  </w:pPr>
                  <w:r>
                    <w:rPr>
                      <w:color w:val="auto"/>
                    </w:rPr>
                    <w:t>职工生活污水水</w:t>
                  </w:r>
                </w:p>
              </w:tc>
              <w:tc>
                <w:tcPr>
                  <w:tcW w:w="648" w:type="pct"/>
                  <w:tcBorders>
                    <w:tl2br w:val="nil"/>
                    <w:tr2bl w:val="nil"/>
                  </w:tcBorders>
                  <w:vAlign w:val="center"/>
                </w:tcPr>
                <w:p w14:paraId="6D5CD0D7">
                  <w:pPr>
                    <w:pStyle w:val="51"/>
                    <w:rPr>
                      <w:color w:val="auto"/>
                    </w:rPr>
                  </w:pPr>
                  <w:r>
                    <w:rPr>
                      <w:color w:val="auto"/>
                    </w:rPr>
                    <w:t>COD</w:t>
                  </w:r>
                </w:p>
                <w:p w14:paraId="5B11E179">
                  <w:pPr>
                    <w:pStyle w:val="51"/>
                    <w:rPr>
                      <w:color w:val="auto"/>
                    </w:rPr>
                  </w:pPr>
                  <w:r>
                    <w:rPr>
                      <w:color w:val="auto"/>
                    </w:rPr>
                    <w:t>SS</w:t>
                  </w:r>
                </w:p>
                <w:p w14:paraId="2C1A3F8F">
                  <w:pPr>
                    <w:pStyle w:val="51"/>
                    <w:rPr>
                      <w:color w:val="auto"/>
                    </w:rPr>
                  </w:pPr>
                  <w:r>
                    <w:rPr>
                      <w:color w:val="auto"/>
                    </w:rPr>
                    <w:t>氨氮</w:t>
                  </w:r>
                </w:p>
                <w:p w14:paraId="52F0D56E">
                  <w:pPr>
                    <w:pStyle w:val="51"/>
                    <w:rPr>
                      <w:color w:val="auto"/>
                    </w:rPr>
                  </w:pPr>
                  <w:r>
                    <w:rPr>
                      <w:color w:val="auto"/>
                    </w:rPr>
                    <w:t>TP</w:t>
                  </w:r>
                </w:p>
                <w:p w14:paraId="40FC2898">
                  <w:pPr>
                    <w:pStyle w:val="51"/>
                    <w:rPr>
                      <w:color w:val="auto"/>
                    </w:rPr>
                  </w:pPr>
                  <w:r>
                    <w:rPr>
                      <w:color w:val="auto"/>
                    </w:rPr>
                    <w:t>TN</w:t>
                  </w:r>
                </w:p>
              </w:tc>
              <w:tc>
                <w:tcPr>
                  <w:tcW w:w="402" w:type="pct"/>
                  <w:tcBorders>
                    <w:tl2br w:val="nil"/>
                    <w:tr2bl w:val="nil"/>
                  </w:tcBorders>
                  <w:vAlign w:val="center"/>
                </w:tcPr>
                <w:p w14:paraId="51BB9234">
                  <w:pPr>
                    <w:pStyle w:val="51"/>
                    <w:rPr>
                      <w:color w:val="auto"/>
                    </w:rPr>
                  </w:pPr>
                  <w:r>
                    <w:rPr>
                      <w:rFonts w:hint="eastAsia"/>
                      <w:color w:val="auto"/>
                    </w:rPr>
                    <w:t>新袁镇污水处理</w:t>
                  </w:r>
                  <w:r>
                    <w:rPr>
                      <w:color w:val="auto"/>
                    </w:rPr>
                    <w:t>厂</w:t>
                  </w:r>
                </w:p>
              </w:tc>
              <w:tc>
                <w:tcPr>
                  <w:tcW w:w="546" w:type="pct"/>
                  <w:tcBorders>
                    <w:tl2br w:val="nil"/>
                    <w:tr2bl w:val="nil"/>
                  </w:tcBorders>
                  <w:vAlign w:val="center"/>
                </w:tcPr>
                <w:p w14:paraId="03521519">
                  <w:pPr>
                    <w:pStyle w:val="51"/>
                    <w:rPr>
                      <w:color w:val="auto"/>
                    </w:rPr>
                  </w:pPr>
                  <w:r>
                    <w:rPr>
                      <w:color w:val="auto"/>
                    </w:rPr>
                    <w:t>间断排放，排放期间流量不稳定且无规律</w:t>
                  </w:r>
                </w:p>
              </w:tc>
              <w:tc>
                <w:tcPr>
                  <w:tcW w:w="538" w:type="pct"/>
                  <w:tcBorders>
                    <w:tl2br w:val="nil"/>
                    <w:tr2bl w:val="nil"/>
                  </w:tcBorders>
                  <w:vAlign w:val="center"/>
                </w:tcPr>
                <w:p w14:paraId="683A2C5D">
                  <w:pPr>
                    <w:pStyle w:val="51"/>
                    <w:rPr>
                      <w:color w:val="auto"/>
                    </w:rPr>
                  </w:pPr>
                  <w:r>
                    <w:rPr>
                      <w:color w:val="auto"/>
                    </w:rPr>
                    <w:t>TW001</w:t>
                  </w:r>
                </w:p>
              </w:tc>
              <w:tc>
                <w:tcPr>
                  <w:tcW w:w="509" w:type="pct"/>
                  <w:tcBorders>
                    <w:tl2br w:val="nil"/>
                    <w:tr2bl w:val="nil"/>
                  </w:tcBorders>
                  <w:vAlign w:val="center"/>
                </w:tcPr>
                <w:p w14:paraId="3EDF087F">
                  <w:pPr>
                    <w:pStyle w:val="51"/>
                    <w:rPr>
                      <w:color w:val="auto"/>
                    </w:rPr>
                  </w:pPr>
                  <w:r>
                    <w:rPr>
                      <w:color w:val="auto"/>
                    </w:rPr>
                    <w:t>污水处理系统</w:t>
                  </w:r>
                </w:p>
              </w:tc>
              <w:tc>
                <w:tcPr>
                  <w:tcW w:w="665" w:type="pct"/>
                  <w:tcBorders>
                    <w:tl2br w:val="nil"/>
                    <w:tr2bl w:val="nil"/>
                  </w:tcBorders>
                  <w:vAlign w:val="center"/>
                </w:tcPr>
                <w:p w14:paraId="1FC25614">
                  <w:pPr>
                    <w:pStyle w:val="51"/>
                    <w:rPr>
                      <w:color w:val="auto"/>
                    </w:rPr>
                  </w:pPr>
                  <w:r>
                    <w:rPr>
                      <w:color w:val="auto"/>
                    </w:rPr>
                    <w:t>化粪池</w:t>
                  </w:r>
                </w:p>
              </w:tc>
              <w:tc>
                <w:tcPr>
                  <w:tcW w:w="511" w:type="pct"/>
                  <w:tcBorders>
                    <w:tl2br w:val="nil"/>
                    <w:tr2bl w:val="nil"/>
                  </w:tcBorders>
                  <w:vAlign w:val="center"/>
                </w:tcPr>
                <w:p w14:paraId="1AB44C73">
                  <w:pPr>
                    <w:pStyle w:val="51"/>
                    <w:rPr>
                      <w:color w:val="auto"/>
                    </w:rPr>
                  </w:pPr>
                  <w:r>
                    <w:rPr>
                      <w:color w:val="auto"/>
                    </w:rPr>
                    <w:t>DW001</w:t>
                  </w:r>
                </w:p>
              </w:tc>
              <w:tc>
                <w:tcPr>
                  <w:tcW w:w="392" w:type="pct"/>
                  <w:tcBorders>
                    <w:tl2br w:val="nil"/>
                    <w:tr2bl w:val="nil"/>
                  </w:tcBorders>
                  <w:vAlign w:val="center"/>
                </w:tcPr>
                <w:p w14:paraId="078ED8EF">
                  <w:pPr>
                    <w:pStyle w:val="51"/>
                    <w:rPr>
                      <w:color w:val="auto"/>
                    </w:rPr>
                  </w:pPr>
                  <w:r>
                    <w:rPr>
                      <w:color w:val="auto"/>
                    </w:rPr>
                    <w:t>是</w:t>
                  </w:r>
                </w:p>
              </w:tc>
              <w:tc>
                <w:tcPr>
                  <w:tcW w:w="383" w:type="pct"/>
                  <w:tcBorders>
                    <w:tl2br w:val="nil"/>
                    <w:tr2bl w:val="nil"/>
                  </w:tcBorders>
                  <w:vAlign w:val="center"/>
                </w:tcPr>
                <w:p w14:paraId="43E05BF1">
                  <w:pPr>
                    <w:pStyle w:val="51"/>
                    <w:rPr>
                      <w:color w:val="auto"/>
                    </w:rPr>
                  </w:pPr>
                  <w:r>
                    <w:rPr>
                      <w:color w:val="auto"/>
                    </w:rPr>
                    <w:t>企业总排</w:t>
                  </w:r>
                </w:p>
              </w:tc>
            </w:tr>
            <w:tr w14:paraId="5FAF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401" w:type="pct"/>
                  <w:tcBorders>
                    <w:tl2br w:val="nil"/>
                    <w:tr2bl w:val="nil"/>
                  </w:tcBorders>
                  <w:vAlign w:val="center"/>
                </w:tcPr>
                <w:p w14:paraId="447036D2">
                  <w:pPr>
                    <w:pStyle w:val="51"/>
                    <w:rPr>
                      <w:color w:val="auto"/>
                    </w:rPr>
                  </w:pPr>
                  <w:bookmarkStart w:id="63" w:name="_Ref4795"/>
                  <w:r>
                    <w:rPr>
                      <w:rFonts w:hint="eastAsia"/>
                      <w:color w:val="auto"/>
                    </w:rPr>
                    <w:t>喷水织造废水</w:t>
                  </w:r>
                </w:p>
              </w:tc>
              <w:tc>
                <w:tcPr>
                  <w:tcW w:w="648" w:type="pct"/>
                  <w:tcBorders>
                    <w:tl2br w:val="nil"/>
                    <w:tr2bl w:val="nil"/>
                  </w:tcBorders>
                  <w:vAlign w:val="center"/>
                </w:tcPr>
                <w:p w14:paraId="417996CC">
                  <w:pPr>
                    <w:pStyle w:val="51"/>
                    <w:rPr>
                      <w:color w:val="auto"/>
                    </w:rPr>
                  </w:pPr>
                  <w:r>
                    <w:rPr>
                      <w:rFonts w:hint="eastAsia"/>
                      <w:color w:val="auto"/>
                    </w:rPr>
                    <w:t>COD</w:t>
                  </w:r>
                </w:p>
                <w:p w14:paraId="3DF39AB2">
                  <w:pPr>
                    <w:pStyle w:val="51"/>
                    <w:rPr>
                      <w:color w:val="auto"/>
                    </w:rPr>
                  </w:pPr>
                  <w:r>
                    <w:rPr>
                      <w:rFonts w:hint="eastAsia"/>
                      <w:color w:val="auto"/>
                    </w:rPr>
                    <w:t>SS</w:t>
                  </w:r>
                </w:p>
                <w:p w14:paraId="776DE18A">
                  <w:pPr>
                    <w:pStyle w:val="51"/>
                    <w:rPr>
                      <w:color w:val="auto"/>
                    </w:rPr>
                  </w:pPr>
                  <w:r>
                    <w:rPr>
                      <w:rFonts w:hint="eastAsia"/>
                      <w:color w:val="auto"/>
                    </w:rPr>
                    <w:t>氨氮</w:t>
                  </w:r>
                </w:p>
                <w:p w14:paraId="042EDB33">
                  <w:pPr>
                    <w:pStyle w:val="51"/>
                    <w:rPr>
                      <w:color w:val="auto"/>
                    </w:rPr>
                  </w:pPr>
                  <w:r>
                    <w:rPr>
                      <w:rFonts w:hint="eastAsia"/>
                      <w:color w:val="auto"/>
                    </w:rPr>
                    <w:t>TP</w:t>
                  </w:r>
                </w:p>
                <w:p w14:paraId="6FDBE033">
                  <w:pPr>
                    <w:pStyle w:val="51"/>
                    <w:rPr>
                      <w:color w:val="auto"/>
                    </w:rPr>
                  </w:pPr>
                  <w:r>
                    <w:rPr>
                      <w:rFonts w:hint="eastAsia"/>
                      <w:color w:val="auto"/>
                    </w:rPr>
                    <w:t>TN</w:t>
                  </w:r>
                </w:p>
                <w:p w14:paraId="5DCFAF4C">
                  <w:pPr>
                    <w:pStyle w:val="51"/>
                    <w:rPr>
                      <w:color w:val="auto"/>
                    </w:rPr>
                  </w:pPr>
                  <w:r>
                    <w:rPr>
                      <w:rFonts w:hint="eastAsia"/>
                      <w:color w:val="auto"/>
                    </w:rPr>
                    <w:t>石油类</w:t>
                  </w:r>
                </w:p>
                <w:p w14:paraId="6ED3D1A4">
                  <w:pPr>
                    <w:pStyle w:val="51"/>
                    <w:rPr>
                      <w:color w:val="auto"/>
                    </w:rPr>
                  </w:pPr>
                  <w:r>
                    <w:rPr>
                      <w:rFonts w:hint="eastAsia"/>
                      <w:color w:val="auto"/>
                    </w:rPr>
                    <w:t>总锑</w:t>
                  </w:r>
                </w:p>
              </w:tc>
              <w:tc>
                <w:tcPr>
                  <w:tcW w:w="402" w:type="pct"/>
                  <w:tcBorders>
                    <w:tl2br w:val="nil"/>
                    <w:tr2bl w:val="nil"/>
                  </w:tcBorders>
                  <w:vAlign w:val="center"/>
                </w:tcPr>
                <w:p w14:paraId="135BECBE">
                  <w:pPr>
                    <w:pStyle w:val="51"/>
                    <w:rPr>
                      <w:color w:val="auto"/>
                    </w:rPr>
                  </w:pPr>
                  <w:r>
                    <w:rPr>
                      <w:rFonts w:hint="eastAsia"/>
                      <w:color w:val="auto"/>
                    </w:rPr>
                    <w:t>厂区内污水处理站</w:t>
                  </w:r>
                </w:p>
              </w:tc>
              <w:tc>
                <w:tcPr>
                  <w:tcW w:w="546" w:type="pct"/>
                  <w:tcBorders>
                    <w:tl2br w:val="nil"/>
                    <w:tr2bl w:val="nil"/>
                  </w:tcBorders>
                  <w:vAlign w:val="center"/>
                </w:tcPr>
                <w:p w14:paraId="57164EBB">
                  <w:pPr>
                    <w:pStyle w:val="51"/>
                    <w:rPr>
                      <w:color w:val="auto"/>
                    </w:rPr>
                  </w:pPr>
                  <w:r>
                    <w:rPr>
                      <w:color w:val="auto"/>
                    </w:rPr>
                    <w:t>排放期间流量</w:t>
                  </w:r>
                  <w:r>
                    <w:rPr>
                      <w:rFonts w:hint="eastAsia"/>
                      <w:color w:val="auto"/>
                    </w:rPr>
                    <w:t>稳定</w:t>
                  </w:r>
                </w:p>
              </w:tc>
              <w:tc>
                <w:tcPr>
                  <w:tcW w:w="538" w:type="pct"/>
                  <w:tcBorders>
                    <w:tl2br w:val="nil"/>
                    <w:tr2bl w:val="nil"/>
                  </w:tcBorders>
                  <w:vAlign w:val="center"/>
                </w:tcPr>
                <w:p w14:paraId="41147189">
                  <w:pPr>
                    <w:pStyle w:val="51"/>
                    <w:rPr>
                      <w:color w:val="auto"/>
                    </w:rPr>
                  </w:pPr>
                  <w:r>
                    <w:rPr>
                      <w:rFonts w:hint="eastAsia"/>
                      <w:color w:val="auto"/>
                    </w:rPr>
                    <w:t>TW002</w:t>
                  </w:r>
                </w:p>
              </w:tc>
              <w:tc>
                <w:tcPr>
                  <w:tcW w:w="509" w:type="pct"/>
                  <w:tcBorders>
                    <w:tl2br w:val="nil"/>
                    <w:tr2bl w:val="nil"/>
                  </w:tcBorders>
                  <w:vAlign w:val="center"/>
                </w:tcPr>
                <w:p w14:paraId="2EF2EF80">
                  <w:pPr>
                    <w:pStyle w:val="51"/>
                    <w:rPr>
                      <w:color w:val="auto"/>
                    </w:rPr>
                  </w:pPr>
                  <w:r>
                    <w:rPr>
                      <w:rFonts w:hint="eastAsia"/>
                      <w:color w:val="auto"/>
                    </w:rPr>
                    <w:t>污水处理站</w:t>
                  </w:r>
                </w:p>
              </w:tc>
              <w:tc>
                <w:tcPr>
                  <w:tcW w:w="665" w:type="pct"/>
                  <w:tcBorders>
                    <w:tl2br w:val="nil"/>
                    <w:tr2bl w:val="nil"/>
                  </w:tcBorders>
                  <w:vAlign w:val="center"/>
                </w:tcPr>
                <w:p w14:paraId="63C95FEA">
                  <w:pPr>
                    <w:pStyle w:val="51"/>
                    <w:rPr>
                      <w:color w:val="auto"/>
                    </w:rPr>
                  </w:pPr>
                  <w:r>
                    <w:rPr>
                      <w:rFonts w:hint="eastAsia"/>
                      <w:color w:val="auto"/>
                    </w:rPr>
                    <w:t>格栅+调节+混凝气浮+</w:t>
                  </w:r>
                  <w:r>
                    <w:rPr>
                      <w:rFonts w:hint="eastAsia"/>
                      <w:color w:val="auto"/>
                      <w:lang w:val="en-US" w:eastAsia="zh-CN"/>
                    </w:rPr>
                    <w:t>生化+</w:t>
                  </w:r>
                  <w:r>
                    <w:rPr>
                      <w:rFonts w:hint="eastAsia"/>
                      <w:color w:val="auto"/>
                    </w:rPr>
                    <w:t>二沉+砂滤+碳滤</w:t>
                  </w:r>
                </w:p>
              </w:tc>
              <w:tc>
                <w:tcPr>
                  <w:tcW w:w="511" w:type="pct"/>
                  <w:tcBorders>
                    <w:tl2br w:val="nil"/>
                    <w:tr2bl w:val="nil"/>
                  </w:tcBorders>
                  <w:vAlign w:val="center"/>
                </w:tcPr>
                <w:p w14:paraId="6674B435">
                  <w:pPr>
                    <w:pStyle w:val="51"/>
                    <w:rPr>
                      <w:color w:val="auto"/>
                    </w:rPr>
                  </w:pPr>
                  <w:r>
                    <w:rPr>
                      <w:rFonts w:hint="eastAsia"/>
                      <w:color w:val="auto"/>
                    </w:rPr>
                    <w:t>/</w:t>
                  </w:r>
                </w:p>
              </w:tc>
              <w:tc>
                <w:tcPr>
                  <w:tcW w:w="392" w:type="pct"/>
                  <w:tcBorders>
                    <w:tl2br w:val="nil"/>
                    <w:tr2bl w:val="nil"/>
                  </w:tcBorders>
                  <w:vAlign w:val="center"/>
                </w:tcPr>
                <w:p w14:paraId="162D41B4">
                  <w:pPr>
                    <w:pStyle w:val="51"/>
                    <w:rPr>
                      <w:color w:val="auto"/>
                    </w:rPr>
                  </w:pPr>
                  <w:r>
                    <w:rPr>
                      <w:rFonts w:hint="eastAsia"/>
                      <w:color w:val="auto"/>
                    </w:rPr>
                    <w:t>/</w:t>
                  </w:r>
                </w:p>
              </w:tc>
              <w:tc>
                <w:tcPr>
                  <w:tcW w:w="383" w:type="pct"/>
                  <w:tcBorders>
                    <w:tl2br w:val="nil"/>
                    <w:tr2bl w:val="nil"/>
                  </w:tcBorders>
                  <w:vAlign w:val="center"/>
                </w:tcPr>
                <w:p w14:paraId="13D696BE">
                  <w:pPr>
                    <w:pStyle w:val="51"/>
                    <w:rPr>
                      <w:color w:val="auto"/>
                    </w:rPr>
                  </w:pPr>
                  <w:r>
                    <w:rPr>
                      <w:rFonts w:hint="eastAsia"/>
                      <w:color w:val="auto"/>
                    </w:rPr>
                    <w:t>/</w:t>
                  </w:r>
                </w:p>
              </w:tc>
            </w:tr>
          </w:tbl>
          <w:p w14:paraId="4AF31E74">
            <w:pPr>
              <w:pStyle w:val="7"/>
              <w:rPr>
                <w:color w:val="auto"/>
                <w:lang w:bidi="ar"/>
              </w:rPr>
            </w:pPr>
            <w:bookmarkStart w:id="64" w:name="_Ref21741"/>
            <w:bookmarkStart w:id="65" w:name="_Ref25038"/>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12</w:t>
            </w:r>
            <w:r>
              <w:rPr>
                <w:color w:val="auto"/>
              </w:rPr>
              <w:fldChar w:fldCharType="end"/>
            </w:r>
            <w:bookmarkEnd w:id="63"/>
            <w:bookmarkEnd w:id="64"/>
            <w:bookmarkEnd w:id="65"/>
            <w:r>
              <w:rPr>
                <w:color w:val="auto"/>
              </w:rPr>
              <w:t xml:space="preserve"> </w:t>
            </w:r>
            <w:r>
              <w:rPr>
                <w:color w:val="auto"/>
                <w:lang w:bidi="ar"/>
              </w:rPr>
              <w:t>废水间接排放口基本信息表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1"/>
              <w:gridCol w:w="807"/>
              <w:gridCol w:w="779"/>
              <w:gridCol w:w="875"/>
              <w:gridCol w:w="660"/>
              <w:gridCol w:w="1245"/>
              <w:gridCol w:w="570"/>
              <w:gridCol w:w="660"/>
              <w:gridCol w:w="721"/>
              <w:gridCol w:w="1305"/>
            </w:tblGrid>
            <w:tr w14:paraId="6E93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480" w:type="pct"/>
                  <w:vMerge w:val="restart"/>
                  <w:shd w:val="clear" w:color="auto" w:fill="auto"/>
                  <w:vAlign w:val="center"/>
                </w:tcPr>
                <w:p w14:paraId="1D7256F3">
                  <w:pPr>
                    <w:pStyle w:val="49"/>
                    <w:rPr>
                      <w:color w:val="auto"/>
                    </w:rPr>
                  </w:pPr>
                  <w:r>
                    <w:rPr>
                      <w:color w:val="auto"/>
                    </w:rPr>
                    <w:t>排放口</w:t>
                  </w:r>
                </w:p>
                <w:p w14:paraId="57CD6CAB">
                  <w:pPr>
                    <w:pStyle w:val="49"/>
                    <w:rPr>
                      <w:color w:val="auto"/>
                    </w:rPr>
                  </w:pPr>
                  <w:r>
                    <w:rPr>
                      <w:color w:val="auto"/>
                    </w:rPr>
                    <w:t>编号</w:t>
                  </w:r>
                </w:p>
              </w:tc>
              <w:tc>
                <w:tcPr>
                  <w:tcW w:w="940" w:type="pct"/>
                  <w:gridSpan w:val="2"/>
                  <w:shd w:val="clear" w:color="auto" w:fill="auto"/>
                  <w:vAlign w:val="center"/>
                </w:tcPr>
                <w:p w14:paraId="6553404C">
                  <w:pPr>
                    <w:pStyle w:val="49"/>
                    <w:rPr>
                      <w:color w:val="auto"/>
                    </w:rPr>
                  </w:pPr>
                  <w:r>
                    <w:rPr>
                      <w:color w:val="auto"/>
                    </w:rPr>
                    <w:t>排放口地理坐标（a）</w:t>
                  </w:r>
                </w:p>
              </w:tc>
              <w:tc>
                <w:tcPr>
                  <w:tcW w:w="518" w:type="pct"/>
                  <w:vMerge w:val="restart"/>
                  <w:shd w:val="clear" w:color="auto" w:fill="auto"/>
                  <w:vAlign w:val="center"/>
                </w:tcPr>
                <w:p w14:paraId="46F8BFB7">
                  <w:pPr>
                    <w:pStyle w:val="49"/>
                    <w:rPr>
                      <w:color w:val="auto"/>
                    </w:rPr>
                  </w:pPr>
                  <w:r>
                    <w:rPr>
                      <w:color w:val="auto"/>
                    </w:rPr>
                    <w:t>废水排放量</w:t>
                  </w:r>
                </w:p>
                <w:p w14:paraId="25157F3C">
                  <w:pPr>
                    <w:pStyle w:val="49"/>
                    <w:rPr>
                      <w:color w:val="auto"/>
                    </w:rPr>
                  </w:pPr>
                  <w:r>
                    <w:rPr>
                      <w:color w:val="auto"/>
                    </w:rPr>
                    <w:t>（万t/a）</w:t>
                  </w:r>
                </w:p>
              </w:tc>
              <w:tc>
                <w:tcPr>
                  <w:tcW w:w="391" w:type="pct"/>
                  <w:vMerge w:val="restart"/>
                  <w:shd w:val="clear" w:color="auto" w:fill="auto"/>
                  <w:vAlign w:val="center"/>
                </w:tcPr>
                <w:p w14:paraId="05103055">
                  <w:pPr>
                    <w:pStyle w:val="49"/>
                    <w:rPr>
                      <w:color w:val="auto"/>
                    </w:rPr>
                  </w:pPr>
                  <w:r>
                    <w:rPr>
                      <w:color w:val="auto"/>
                    </w:rPr>
                    <w:t>排放</w:t>
                  </w:r>
                </w:p>
                <w:p w14:paraId="4AFF7F46">
                  <w:pPr>
                    <w:pStyle w:val="49"/>
                    <w:rPr>
                      <w:color w:val="auto"/>
                    </w:rPr>
                  </w:pPr>
                  <w:r>
                    <w:rPr>
                      <w:color w:val="auto"/>
                    </w:rPr>
                    <w:t>去向</w:t>
                  </w:r>
                </w:p>
              </w:tc>
              <w:tc>
                <w:tcPr>
                  <w:tcW w:w="738" w:type="pct"/>
                  <w:vMerge w:val="restart"/>
                  <w:shd w:val="clear" w:color="auto" w:fill="auto"/>
                  <w:vAlign w:val="center"/>
                </w:tcPr>
                <w:p w14:paraId="62627B2B">
                  <w:pPr>
                    <w:pStyle w:val="49"/>
                    <w:rPr>
                      <w:color w:val="auto"/>
                    </w:rPr>
                  </w:pPr>
                  <w:r>
                    <w:rPr>
                      <w:color w:val="auto"/>
                    </w:rPr>
                    <w:t>排放</w:t>
                  </w:r>
                </w:p>
                <w:p w14:paraId="7DC704E7">
                  <w:pPr>
                    <w:pStyle w:val="49"/>
                    <w:rPr>
                      <w:color w:val="auto"/>
                    </w:rPr>
                  </w:pPr>
                  <w:r>
                    <w:rPr>
                      <w:color w:val="auto"/>
                    </w:rPr>
                    <w:t>规律</w:t>
                  </w:r>
                </w:p>
              </w:tc>
              <w:tc>
                <w:tcPr>
                  <w:tcW w:w="337" w:type="pct"/>
                  <w:vMerge w:val="restart"/>
                  <w:shd w:val="clear" w:color="auto" w:fill="auto"/>
                  <w:vAlign w:val="center"/>
                </w:tcPr>
                <w:p w14:paraId="54A4A971">
                  <w:pPr>
                    <w:pStyle w:val="49"/>
                    <w:rPr>
                      <w:color w:val="auto"/>
                    </w:rPr>
                  </w:pPr>
                  <w:r>
                    <w:rPr>
                      <w:color w:val="auto"/>
                    </w:rPr>
                    <w:t>间歇排放时段</w:t>
                  </w:r>
                </w:p>
              </w:tc>
              <w:tc>
                <w:tcPr>
                  <w:tcW w:w="1592" w:type="pct"/>
                  <w:gridSpan w:val="3"/>
                  <w:shd w:val="clear" w:color="auto" w:fill="auto"/>
                  <w:vAlign w:val="center"/>
                </w:tcPr>
                <w:p w14:paraId="0101A4CF">
                  <w:pPr>
                    <w:pStyle w:val="49"/>
                    <w:rPr>
                      <w:color w:val="auto"/>
                    </w:rPr>
                  </w:pPr>
                  <w:r>
                    <w:rPr>
                      <w:color w:val="auto"/>
                    </w:rPr>
                    <w:t>受纳污水处理厂信息</w:t>
                  </w:r>
                </w:p>
              </w:tc>
            </w:tr>
            <w:tr w14:paraId="7820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480" w:type="pct"/>
                  <w:vMerge w:val="continue"/>
                  <w:shd w:val="clear" w:color="auto" w:fill="auto"/>
                  <w:vAlign w:val="center"/>
                </w:tcPr>
                <w:p w14:paraId="5CEB8DBC">
                  <w:pPr>
                    <w:pStyle w:val="49"/>
                    <w:rPr>
                      <w:color w:val="auto"/>
                    </w:rPr>
                  </w:pPr>
                </w:p>
              </w:tc>
              <w:tc>
                <w:tcPr>
                  <w:tcW w:w="478" w:type="pct"/>
                  <w:shd w:val="clear" w:color="auto" w:fill="auto"/>
                  <w:vAlign w:val="center"/>
                </w:tcPr>
                <w:p w14:paraId="6852E4E7">
                  <w:pPr>
                    <w:pStyle w:val="49"/>
                    <w:rPr>
                      <w:color w:val="auto"/>
                    </w:rPr>
                  </w:pPr>
                  <w:r>
                    <w:rPr>
                      <w:color w:val="auto"/>
                    </w:rPr>
                    <w:t>经度（E）</w:t>
                  </w:r>
                </w:p>
              </w:tc>
              <w:tc>
                <w:tcPr>
                  <w:tcW w:w="461" w:type="pct"/>
                  <w:shd w:val="clear" w:color="auto" w:fill="auto"/>
                  <w:vAlign w:val="center"/>
                </w:tcPr>
                <w:p w14:paraId="15F9A7CE">
                  <w:pPr>
                    <w:pStyle w:val="49"/>
                    <w:rPr>
                      <w:color w:val="auto"/>
                    </w:rPr>
                  </w:pPr>
                  <w:r>
                    <w:rPr>
                      <w:color w:val="auto"/>
                    </w:rPr>
                    <w:t>纬度（N）</w:t>
                  </w:r>
                </w:p>
              </w:tc>
              <w:tc>
                <w:tcPr>
                  <w:tcW w:w="518" w:type="pct"/>
                  <w:vMerge w:val="continue"/>
                  <w:shd w:val="clear" w:color="auto" w:fill="auto"/>
                  <w:vAlign w:val="center"/>
                </w:tcPr>
                <w:p w14:paraId="3BD79523">
                  <w:pPr>
                    <w:pStyle w:val="49"/>
                    <w:rPr>
                      <w:color w:val="auto"/>
                    </w:rPr>
                  </w:pPr>
                </w:p>
              </w:tc>
              <w:tc>
                <w:tcPr>
                  <w:tcW w:w="391" w:type="pct"/>
                  <w:vMerge w:val="continue"/>
                  <w:shd w:val="clear" w:color="auto" w:fill="auto"/>
                  <w:vAlign w:val="center"/>
                </w:tcPr>
                <w:p w14:paraId="63761AB6">
                  <w:pPr>
                    <w:pStyle w:val="49"/>
                    <w:rPr>
                      <w:color w:val="auto"/>
                    </w:rPr>
                  </w:pPr>
                </w:p>
              </w:tc>
              <w:tc>
                <w:tcPr>
                  <w:tcW w:w="738" w:type="pct"/>
                  <w:vMerge w:val="continue"/>
                  <w:shd w:val="clear" w:color="auto" w:fill="auto"/>
                  <w:vAlign w:val="center"/>
                </w:tcPr>
                <w:p w14:paraId="599B2251">
                  <w:pPr>
                    <w:pStyle w:val="49"/>
                    <w:rPr>
                      <w:color w:val="auto"/>
                    </w:rPr>
                  </w:pPr>
                </w:p>
              </w:tc>
              <w:tc>
                <w:tcPr>
                  <w:tcW w:w="337" w:type="pct"/>
                  <w:vMerge w:val="continue"/>
                  <w:shd w:val="clear" w:color="auto" w:fill="auto"/>
                  <w:vAlign w:val="center"/>
                </w:tcPr>
                <w:p w14:paraId="0B53B79D">
                  <w:pPr>
                    <w:pStyle w:val="49"/>
                    <w:rPr>
                      <w:color w:val="auto"/>
                    </w:rPr>
                  </w:pPr>
                </w:p>
              </w:tc>
              <w:tc>
                <w:tcPr>
                  <w:tcW w:w="391" w:type="pct"/>
                  <w:shd w:val="clear" w:color="auto" w:fill="auto"/>
                  <w:vAlign w:val="center"/>
                </w:tcPr>
                <w:p w14:paraId="00CAE4FF">
                  <w:pPr>
                    <w:pStyle w:val="49"/>
                    <w:rPr>
                      <w:color w:val="auto"/>
                    </w:rPr>
                  </w:pPr>
                  <w:r>
                    <w:rPr>
                      <w:color w:val="auto"/>
                    </w:rPr>
                    <w:t>名称</w:t>
                  </w:r>
                </w:p>
              </w:tc>
              <w:tc>
                <w:tcPr>
                  <w:tcW w:w="427" w:type="pct"/>
                  <w:shd w:val="clear" w:color="auto" w:fill="auto"/>
                  <w:vAlign w:val="center"/>
                </w:tcPr>
                <w:p w14:paraId="34FBF515">
                  <w:pPr>
                    <w:pStyle w:val="49"/>
                    <w:rPr>
                      <w:color w:val="auto"/>
                    </w:rPr>
                  </w:pPr>
                  <w:r>
                    <w:rPr>
                      <w:color w:val="auto"/>
                    </w:rPr>
                    <w:t>污染物种类</w:t>
                  </w:r>
                </w:p>
              </w:tc>
              <w:tc>
                <w:tcPr>
                  <w:tcW w:w="773" w:type="pct"/>
                  <w:shd w:val="clear" w:color="auto" w:fill="auto"/>
                  <w:vAlign w:val="center"/>
                </w:tcPr>
                <w:p w14:paraId="2D174888">
                  <w:pPr>
                    <w:pStyle w:val="49"/>
                    <w:rPr>
                      <w:color w:val="auto"/>
                    </w:rPr>
                  </w:pPr>
                  <w:r>
                    <w:rPr>
                      <w:color w:val="auto"/>
                    </w:rPr>
                    <w:t>污染物排放标准浓度限值（mg/L）</w:t>
                  </w:r>
                </w:p>
              </w:tc>
            </w:tr>
            <w:tr w14:paraId="60AA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480" w:type="pct"/>
                  <w:vMerge w:val="restart"/>
                  <w:shd w:val="clear" w:color="auto" w:fill="auto"/>
                  <w:vAlign w:val="center"/>
                </w:tcPr>
                <w:p w14:paraId="3B6A3756">
                  <w:pPr>
                    <w:pStyle w:val="51"/>
                    <w:rPr>
                      <w:color w:val="auto"/>
                    </w:rPr>
                  </w:pPr>
                  <w:r>
                    <w:rPr>
                      <w:color w:val="auto"/>
                    </w:rPr>
                    <w:t>DW001</w:t>
                  </w:r>
                </w:p>
              </w:tc>
              <w:tc>
                <w:tcPr>
                  <w:tcW w:w="478" w:type="pct"/>
                  <w:vMerge w:val="restart"/>
                  <w:shd w:val="clear" w:color="auto" w:fill="auto"/>
                  <w:vAlign w:val="center"/>
                </w:tcPr>
                <w:p w14:paraId="675C9FB4">
                  <w:pPr>
                    <w:pStyle w:val="51"/>
                    <w:rPr>
                      <w:color w:val="auto"/>
                    </w:rPr>
                  </w:pPr>
                  <w:r>
                    <w:rPr>
                      <w:color w:val="auto"/>
                    </w:rPr>
                    <w:t>118°45′31.32</w:t>
                  </w:r>
                  <w:r>
                    <w:rPr>
                      <w:rFonts w:hint="eastAsia"/>
                      <w:color w:val="auto"/>
                    </w:rPr>
                    <w:t>0</w:t>
                  </w:r>
                  <w:r>
                    <w:rPr>
                      <w:color w:val="auto"/>
                    </w:rPr>
                    <w:t>″</w:t>
                  </w:r>
                </w:p>
              </w:tc>
              <w:tc>
                <w:tcPr>
                  <w:tcW w:w="461" w:type="pct"/>
                  <w:vMerge w:val="restart"/>
                  <w:shd w:val="clear" w:color="auto" w:fill="auto"/>
                  <w:vAlign w:val="center"/>
                </w:tcPr>
                <w:p w14:paraId="17B31238">
                  <w:pPr>
                    <w:pStyle w:val="51"/>
                    <w:rPr>
                      <w:color w:val="auto"/>
                    </w:rPr>
                  </w:pPr>
                  <w:r>
                    <w:rPr>
                      <w:color w:val="auto"/>
                    </w:rPr>
                    <w:t>33°33′28.0</w:t>
                  </w:r>
                  <w:r>
                    <w:rPr>
                      <w:rFonts w:hint="eastAsia"/>
                      <w:color w:val="auto"/>
                    </w:rPr>
                    <w:t>80</w:t>
                  </w:r>
                  <w:r>
                    <w:rPr>
                      <w:color w:val="auto"/>
                    </w:rPr>
                    <w:t>″</w:t>
                  </w:r>
                </w:p>
              </w:tc>
              <w:tc>
                <w:tcPr>
                  <w:tcW w:w="518" w:type="pct"/>
                  <w:vMerge w:val="restart"/>
                  <w:shd w:val="clear" w:color="auto" w:fill="auto"/>
                  <w:vAlign w:val="center"/>
                </w:tcPr>
                <w:p w14:paraId="0755156D">
                  <w:pPr>
                    <w:pStyle w:val="51"/>
                    <w:rPr>
                      <w:rFonts w:hint="default" w:eastAsia="宋体"/>
                      <w:color w:val="auto"/>
                      <w:lang w:val="en-US" w:eastAsia="zh-CN"/>
                    </w:rPr>
                  </w:pPr>
                  <w:r>
                    <w:rPr>
                      <w:rFonts w:hint="eastAsia"/>
                      <w:color w:val="auto"/>
                      <w:lang w:val="en-US" w:eastAsia="zh-CN"/>
                    </w:rPr>
                    <w:t>0.24</w:t>
                  </w:r>
                </w:p>
              </w:tc>
              <w:tc>
                <w:tcPr>
                  <w:tcW w:w="391" w:type="pct"/>
                  <w:vMerge w:val="restart"/>
                  <w:shd w:val="clear" w:color="auto" w:fill="auto"/>
                  <w:vAlign w:val="center"/>
                </w:tcPr>
                <w:p w14:paraId="3E7C943E">
                  <w:pPr>
                    <w:pStyle w:val="51"/>
                    <w:rPr>
                      <w:color w:val="auto"/>
                    </w:rPr>
                  </w:pPr>
                  <w:r>
                    <w:rPr>
                      <w:rFonts w:hint="eastAsia"/>
                      <w:color w:val="auto"/>
                    </w:rPr>
                    <w:t>新袁镇污水处理</w:t>
                  </w:r>
                  <w:r>
                    <w:rPr>
                      <w:color w:val="auto"/>
                    </w:rPr>
                    <w:t>厂</w:t>
                  </w:r>
                </w:p>
              </w:tc>
              <w:tc>
                <w:tcPr>
                  <w:tcW w:w="738" w:type="pct"/>
                  <w:vMerge w:val="restart"/>
                  <w:shd w:val="clear" w:color="auto" w:fill="auto"/>
                  <w:vAlign w:val="center"/>
                </w:tcPr>
                <w:p w14:paraId="2C0EDEA0">
                  <w:pPr>
                    <w:pStyle w:val="51"/>
                    <w:rPr>
                      <w:color w:val="auto"/>
                    </w:rPr>
                  </w:pPr>
                  <w:r>
                    <w:rPr>
                      <w:color w:val="auto"/>
                    </w:rPr>
                    <w:t>间断排放，排放期间流量不稳定且无规律</w:t>
                  </w:r>
                </w:p>
              </w:tc>
              <w:tc>
                <w:tcPr>
                  <w:tcW w:w="337" w:type="pct"/>
                  <w:vMerge w:val="restart"/>
                  <w:shd w:val="clear" w:color="auto" w:fill="auto"/>
                  <w:vAlign w:val="center"/>
                </w:tcPr>
                <w:p w14:paraId="00DB60AD">
                  <w:pPr>
                    <w:pStyle w:val="51"/>
                    <w:rPr>
                      <w:color w:val="auto"/>
                    </w:rPr>
                  </w:pPr>
                  <w:r>
                    <w:rPr>
                      <w:color w:val="auto"/>
                    </w:rPr>
                    <w:t>/</w:t>
                  </w:r>
                </w:p>
              </w:tc>
              <w:tc>
                <w:tcPr>
                  <w:tcW w:w="391" w:type="pct"/>
                  <w:vMerge w:val="restart"/>
                  <w:shd w:val="clear" w:color="auto" w:fill="auto"/>
                  <w:vAlign w:val="center"/>
                </w:tcPr>
                <w:p w14:paraId="738EB3FC">
                  <w:pPr>
                    <w:pStyle w:val="51"/>
                    <w:rPr>
                      <w:color w:val="auto"/>
                    </w:rPr>
                  </w:pPr>
                  <w:r>
                    <w:rPr>
                      <w:rFonts w:hint="eastAsia"/>
                      <w:color w:val="auto"/>
                    </w:rPr>
                    <w:t>新袁镇污水处理</w:t>
                  </w:r>
                  <w:r>
                    <w:rPr>
                      <w:color w:val="auto"/>
                    </w:rPr>
                    <w:t>厂</w:t>
                  </w:r>
                </w:p>
              </w:tc>
              <w:tc>
                <w:tcPr>
                  <w:tcW w:w="427" w:type="pct"/>
                  <w:shd w:val="clear" w:color="auto" w:fill="auto"/>
                  <w:vAlign w:val="center"/>
                </w:tcPr>
                <w:p w14:paraId="76DF4027">
                  <w:pPr>
                    <w:pStyle w:val="51"/>
                    <w:rPr>
                      <w:color w:val="auto"/>
                    </w:rPr>
                  </w:pPr>
                  <w:r>
                    <w:rPr>
                      <w:color w:val="auto"/>
                    </w:rPr>
                    <w:t>COD</w:t>
                  </w:r>
                </w:p>
              </w:tc>
              <w:tc>
                <w:tcPr>
                  <w:tcW w:w="773" w:type="pct"/>
                  <w:shd w:val="clear" w:color="auto" w:fill="auto"/>
                  <w:vAlign w:val="center"/>
                </w:tcPr>
                <w:p w14:paraId="6B4168CB">
                  <w:pPr>
                    <w:pStyle w:val="51"/>
                    <w:rPr>
                      <w:color w:val="auto"/>
                    </w:rPr>
                  </w:pPr>
                  <w:r>
                    <w:rPr>
                      <w:color w:val="auto"/>
                    </w:rPr>
                    <w:t>≤50</w:t>
                  </w:r>
                </w:p>
              </w:tc>
            </w:tr>
            <w:tr w14:paraId="36CC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480" w:type="pct"/>
                  <w:vMerge w:val="continue"/>
                  <w:shd w:val="clear" w:color="auto" w:fill="auto"/>
                  <w:vAlign w:val="center"/>
                </w:tcPr>
                <w:p w14:paraId="7EBD865A">
                  <w:pPr>
                    <w:pStyle w:val="51"/>
                    <w:rPr>
                      <w:color w:val="auto"/>
                    </w:rPr>
                  </w:pPr>
                </w:p>
              </w:tc>
              <w:tc>
                <w:tcPr>
                  <w:tcW w:w="478" w:type="pct"/>
                  <w:vMerge w:val="continue"/>
                  <w:shd w:val="clear" w:color="auto" w:fill="auto"/>
                  <w:vAlign w:val="center"/>
                </w:tcPr>
                <w:p w14:paraId="143D7830">
                  <w:pPr>
                    <w:pStyle w:val="51"/>
                    <w:rPr>
                      <w:color w:val="auto"/>
                    </w:rPr>
                  </w:pPr>
                </w:p>
              </w:tc>
              <w:tc>
                <w:tcPr>
                  <w:tcW w:w="461" w:type="pct"/>
                  <w:vMerge w:val="continue"/>
                  <w:shd w:val="clear" w:color="auto" w:fill="auto"/>
                  <w:vAlign w:val="center"/>
                </w:tcPr>
                <w:p w14:paraId="2E339202">
                  <w:pPr>
                    <w:pStyle w:val="51"/>
                    <w:rPr>
                      <w:color w:val="auto"/>
                    </w:rPr>
                  </w:pPr>
                </w:p>
              </w:tc>
              <w:tc>
                <w:tcPr>
                  <w:tcW w:w="518" w:type="pct"/>
                  <w:vMerge w:val="continue"/>
                  <w:shd w:val="clear" w:color="auto" w:fill="auto"/>
                  <w:vAlign w:val="center"/>
                </w:tcPr>
                <w:p w14:paraId="60232B3C">
                  <w:pPr>
                    <w:pStyle w:val="51"/>
                    <w:rPr>
                      <w:color w:val="auto"/>
                    </w:rPr>
                  </w:pPr>
                </w:p>
              </w:tc>
              <w:tc>
                <w:tcPr>
                  <w:tcW w:w="391" w:type="pct"/>
                  <w:vMerge w:val="continue"/>
                  <w:shd w:val="clear" w:color="auto" w:fill="auto"/>
                  <w:vAlign w:val="center"/>
                </w:tcPr>
                <w:p w14:paraId="3DB4060D">
                  <w:pPr>
                    <w:pStyle w:val="51"/>
                    <w:rPr>
                      <w:color w:val="auto"/>
                    </w:rPr>
                  </w:pPr>
                </w:p>
              </w:tc>
              <w:tc>
                <w:tcPr>
                  <w:tcW w:w="738" w:type="pct"/>
                  <w:vMerge w:val="continue"/>
                  <w:shd w:val="clear" w:color="auto" w:fill="auto"/>
                  <w:vAlign w:val="center"/>
                </w:tcPr>
                <w:p w14:paraId="6D9C5A5F">
                  <w:pPr>
                    <w:pStyle w:val="51"/>
                    <w:rPr>
                      <w:color w:val="auto"/>
                    </w:rPr>
                  </w:pPr>
                </w:p>
              </w:tc>
              <w:tc>
                <w:tcPr>
                  <w:tcW w:w="337" w:type="pct"/>
                  <w:vMerge w:val="continue"/>
                  <w:shd w:val="clear" w:color="auto" w:fill="auto"/>
                  <w:vAlign w:val="center"/>
                </w:tcPr>
                <w:p w14:paraId="1D81DC7B">
                  <w:pPr>
                    <w:pStyle w:val="51"/>
                    <w:rPr>
                      <w:color w:val="auto"/>
                    </w:rPr>
                  </w:pPr>
                </w:p>
              </w:tc>
              <w:tc>
                <w:tcPr>
                  <w:tcW w:w="391" w:type="pct"/>
                  <w:vMerge w:val="continue"/>
                  <w:shd w:val="clear" w:color="auto" w:fill="auto"/>
                  <w:vAlign w:val="center"/>
                </w:tcPr>
                <w:p w14:paraId="42E82F3C">
                  <w:pPr>
                    <w:pStyle w:val="51"/>
                    <w:rPr>
                      <w:color w:val="auto"/>
                    </w:rPr>
                  </w:pPr>
                </w:p>
              </w:tc>
              <w:tc>
                <w:tcPr>
                  <w:tcW w:w="427" w:type="pct"/>
                  <w:shd w:val="clear" w:color="auto" w:fill="auto"/>
                  <w:vAlign w:val="center"/>
                </w:tcPr>
                <w:p w14:paraId="04689243">
                  <w:pPr>
                    <w:pStyle w:val="51"/>
                    <w:rPr>
                      <w:color w:val="auto"/>
                    </w:rPr>
                  </w:pPr>
                  <w:r>
                    <w:rPr>
                      <w:color w:val="auto"/>
                    </w:rPr>
                    <w:t>SS</w:t>
                  </w:r>
                </w:p>
              </w:tc>
              <w:tc>
                <w:tcPr>
                  <w:tcW w:w="773" w:type="pct"/>
                  <w:shd w:val="clear" w:color="auto" w:fill="auto"/>
                  <w:vAlign w:val="center"/>
                </w:tcPr>
                <w:p w14:paraId="1BCED661">
                  <w:pPr>
                    <w:pStyle w:val="51"/>
                    <w:rPr>
                      <w:color w:val="auto"/>
                    </w:rPr>
                  </w:pPr>
                  <w:r>
                    <w:rPr>
                      <w:color w:val="auto"/>
                    </w:rPr>
                    <w:t>≤10</w:t>
                  </w:r>
                </w:p>
              </w:tc>
            </w:tr>
            <w:tr w14:paraId="26B8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480" w:type="pct"/>
                  <w:vMerge w:val="continue"/>
                  <w:shd w:val="clear" w:color="auto" w:fill="auto"/>
                  <w:vAlign w:val="center"/>
                </w:tcPr>
                <w:p w14:paraId="44C9FE8C">
                  <w:pPr>
                    <w:pStyle w:val="51"/>
                    <w:rPr>
                      <w:color w:val="auto"/>
                    </w:rPr>
                  </w:pPr>
                </w:p>
              </w:tc>
              <w:tc>
                <w:tcPr>
                  <w:tcW w:w="478" w:type="pct"/>
                  <w:vMerge w:val="continue"/>
                  <w:shd w:val="clear" w:color="auto" w:fill="auto"/>
                  <w:vAlign w:val="center"/>
                </w:tcPr>
                <w:p w14:paraId="6A41E824">
                  <w:pPr>
                    <w:pStyle w:val="51"/>
                    <w:rPr>
                      <w:color w:val="auto"/>
                    </w:rPr>
                  </w:pPr>
                </w:p>
              </w:tc>
              <w:tc>
                <w:tcPr>
                  <w:tcW w:w="461" w:type="pct"/>
                  <w:vMerge w:val="continue"/>
                  <w:shd w:val="clear" w:color="auto" w:fill="auto"/>
                  <w:vAlign w:val="center"/>
                </w:tcPr>
                <w:p w14:paraId="28BE2BA2">
                  <w:pPr>
                    <w:pStyle w:val="51"/>
                    <w:rPr>
                      <w:color w:val="auto"/>
                    </w:rPr>
                  </w:pPr>
                </w:p>
              </w:tc>
              <w:tc>
                <w:tcPr>
                  <w:tcW w:w="518" w:type="pct"/>
                  <w:vMerge w:val="continue"/>
                  <w:shd w:val="clear" w:color="auto" w:fill="auto"/>
                  <w:vAlign w:val="center"/>
                </w:tcPr>
                <w:p w14:paraId="25BE450A">
                  <w:pPr>
                    <w:pStyle w:val="51"/>
                    <w:rPr>
                      <w:color w:val="auto"/>
                    </w:rPr>
                  </w:pPr>
                </w:p>
              </w:tc>
              <w:tc>
                <w:tcPr>
                  <w:tcW w:w="391" w:type="pct"/>
                  <w:vMerge w:val="continue"/>
                  <w:shd w:val="clear" w:color="auto" w:fill="auto"/>
                  <w:vAlign w:val="center"/>
                </w:tcPr>
                <w:p w14:paraId="6541030B">
                  <w:pPr>
                    <w:pStyle w:val="51"/>
                    <w:rPr>
                      <w:color w:val="auto"/>
                    </w:rPr>
                  </w:pPr>
                </w:p>
              </w:tc>
              <w:tc>
                <w:tcPr>
                  <w:tcW w:w="738" w:type="pct"/>
                  <w:vMerge w:val="continue"/>
                  <w:shd w:val="clear" w:color="auto" w:fill="auto"/>
                  <w:vAlign w:val="center"/>
                </w:tcPr>
                <w:p w14:paraId="330CED0B">
                  <w:pPr>
                    <w:pStyle w:val="51"/>
                    <w:rPr>
                      <w:color w:val="auto"/>
                    </w:rPr>
                  </w:pPr>
                </w:p>
              </w:tc>
              <w:tc>
                <w:tcPr>
                  <w:tcW w:w="337" w:type="pct"/>
                  <w:vMerge w:val="continue"/>
                  <w:shd w:val="clear" w:color="auto" w:fill="auto"/>
                  <w:vAlign w:val="center"/>
                </w:tcPr>
                <w:p w14:paraId="5A0EF38E">
                  <w:pPr>
                    <w:pStyle w:val="51"/>
                    <w:rPr>
                      <w:color w:val="auto"/>
                    </w:rPr>
                  </w:pPr>
                </w:p>
              </w:tc>
              <w:tc>
                <w:tcPr>
                  <w:tcW w:w="391" w:type="pct"/>
                  <w:vMerge w:val="continue"/>
                  <w:shd w:val="clear" w:color="auto" w:fill="auto"/>
                  <w:vAlign w:val="center"/>
                </w:tcPr>
                <w:p w14:paraId="395E0F34">
                  <w:pPr>
                    <w:pStyle w:val="51"/>
                    <w:rPr>
                      <w:color w:val="auto"/>
                    </w:rPr>
                  </w:pPr>
                </w:p>
              </w:tc>
              <w:tc>
                <w:tcPr>
                  <w:tcW w:w="427" w:type="pct"/>
                  <w:shd w:val="clear" w:color="auto" w:fill="auto"/>
                  <w:vAlign w:val="center"/>
                </w:tcPr>
                <w:p w14:paraId="74E18EA2">
                  <w:pPr>
                    <w:pStyle w:val="51"/>
                    <w:rPr>
                      <w:color w:val="auto"/>
                    </w:rPr>
                  </w:pPr>
                  <w:r>
                    <w:rPr>
                      <w:color w:val="auto"/>
                    </w:rPr>
                    <w:t>氨氮</w:t>
                  </w:r>
                </w:p>
              </w:tc>
              <w:tc>
                <w:tcPr>
                  <w:tcW w:w="773" w:type="pct"/>
                  <w:shd w:val="clear" w:color="auto" w:fill="auto"/>
                  <w:vAlign w:val="center"/>
                </w:tcPr>
                <w:p w14:paraId="6E01F576">
                  <w:pPr>
                    <w:pStyle w:val="51"/>
                    <w:rPr>
                      <w:color w:val="auto"/>
                    </w:rPr>
                  </w:pPr>
                  <w:r>
                    <w:rPr>
                      <w:color w:val="auto"/>
                    </w:rPr>
                    <w:t>≤5（8）</w:t>
                  </w:r>
                </w:p>
              </w:tc>
            </w:tr>
            <w:tr w14:paraId="4B45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480" w:type="pct"/>
                  <w:vMerge w:val="continue"/>
                  <w:shd w:val="clear" w:color="auto" w:fill="auto"/>
                  <w:vAlign w:val="center"/>
                </w:tcPr>
                <w:p w14:paraId="62DC956D">
                  <w:pPr>
                    <w:pStyle w:val="51"/>
                    <w:rPr>
                      <w:color w:val="auto"/>
                    </w:rPr>
                  </w:pPr>
                </w:p>
              </w:tc>
              <w:tc>
                <w:tcPr>
                  <w:tcW w:w="478" w:type="pct"/>
                  <w:vMerge w:val="continue"/>
                  <w:shd w:val="clear" w:color="auto" w:fill="auto"/>
                  <w:vAlign w:val="center"/>
                </w:tcPr>
                <w:p w14:paraId="60F26B5F">
                  <w:pPr>
                    <w:pStyle w:val="51"/>
                    <w:rPr>
                      <w:color w:val="auto"/>
                    </w:rPr>
                  </w:pPr>
                </w:p>
              </w:tc>
              <w:tc>
                <w:tcPr>
                  <w:tcW w:w="461" w:type="pct"/>
                  <w:vMerge w:val="continue"/>
                  <w:shd w:val="clear" w:color="auto" w:fill="auto"/>
                  <w:vAlign w:val="center"/>
                </w:tcPr>
                <w:p w14:paraId="358A6BEA">
                  <w:pPr>
                    <w:pStyle w:val="51"/>
                    <w:rPr>
                      <w:color w:val="auto"/>
                    </w:rPr>
                  </w:pPr>
                </w:p>
              </w:tc>
              <w:tc>
                <w:tcPr>
                  <w:tcW w:w="518" w:type="pct"/>
                  <w:vMerge w:val="continue"/>
                  <w:shd w:val="clear" w:color="auto" w:fill="auto"/>
                  <w:vAlign w:val="center"/>
                </w:tcPr>
                <w:p w14:paraId="155622CC">
                  <w:pPr>
                    <w:pStyle w:val="51"/>
                    <w:rPr>
                      <w:color w:val="auto"/>
                    </w:rPr>
                  </w:pPr>
                </w:p>
              </w:tc>
              <w:tc>
                <w:tcPr>
                  <w:tcW w:w="391" w:type="pct"/>
                  <w:vMerge w:val="continue"/>
                  <w:shd w:val="clear" w:color="auto" w:fill="auto"/>
                  <w:vAlign w:val="center"/>
                </w:tcPr>
                <w:p w14:paraId="5B296269">
                  <w:pPr>
                    <w:pStyle w:val="51"/>
                    <w:rPr>
                      <w:color w:val="auto"/>
                    </w:rPr>
                  </w:pPr>
                </w:p>
              </w:tc>
              <w:tc>
                <w:tcPr>
                  <w:tcW w:w="738" w:type="pct"/>
                  <w:vMerge w:val="continue"/>
                  <w:shd w:val="clear" w:color="auto" w:fill="auto"/>
                  <w:vAlign w:val="center"/>
                </w:tcPr>
                <w:p w14:paraId="52A48613">
                  <w:pPr>
                    <w:pStyle w:val="51"/>
                    <w:rPr>
                      <w:color w:val="auto"/>
                    </w:rPr>
                  </w:pPr>
                </w:p>
              </w:tc>
              <w:tc>
                <w:tcPr>
                  <w:tcW w:w="337" w:type="pct"/>
                  <w:vMerge w:val="continue"/>
                  <w:shd w:val="clear" w:color="auto" w:fill="auto"/>
                  <w:vAlign w:val="center"/>
                </w:tcPr>
                <w:p w14:paraId="1365298C">
                  <w:pPr>
                    <w:pStyle w:val="51"/>
                    <w:rPr>
                      <w:color w:val="auto"/>
                    </w:rPr>
                  </w:pPr>
                </w:p>
              </w:tc>
              <w:tc>
                <w:tcPr>
                  <w:tcW w:w="391" w:type="pct"/>
                  <w:vMerge w:val="continue"/>
                  <w:shd w:val="clear" w:color="auto" w:fill="auto"/>
                  <w:vAlign w:val="center"/>
                </w:tcPr>
                <w:p w14:paraId="6027D2E9">
                  <w:pPr>
                    <w:pStyle w:val="51"/>
                    <w:rPr>
                      <w:color w:val="auto"/>
                    </w:rPr>
                  </w:pPr>
                </w:p>
              </w:tc>
              <w:tc>
                <w:tcPr>
                  <w:tcW w:w="427" w:type="pct"/>
                  <w:shd w:val="clear" w:color="auto" w:fill="auto"/>
                  <w:vAlign w:val="center"/>
                </w:tcPr>
                <w:p w14:paraId="48F94B0B">
                  <w:pPr>
                    <w:pStyle w:val="51"/>
                    <w:rPr>
                      <w:color w:val="auto"/>
                    </w:rPr>
                  </w:pPr>
                  <w:r>
                    <w:rPr>
                      <w:color w:val="auto"/>
                    </w:rPr>
                    <w:t>TN</w:t>
                  </w:r>
                </w:p>
              </w:tc>
              <w:tc>
                <w:tcPr>
                  <w:tcW w:w="773" w:type="pct"/>
                  <w:shd w:val="clear" w:color="auto" w:fill="auto"/>
                  <w:vAlign w:val="center"/>
                </w:tcPr>
                <w:p w14:paraId="5D290F13">
                  <w:pPr>
                    <w:pStyle w:val="51"/>
                    <w:rPr>
                      <w:color w:val="auto"/>
                    </w:rPr>
                  </w:pPr>
                  <w:r>
                    <w:rPr>
                      <w:color w:val="auto"/>
                    </w:rPr>
                    <w:t>≤15</w:t>
                  </w:r>
                </w:p>
              </w:tc>
            </w:tr>
            <w:tr w14:paraId="29F8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480" w:type="pct"/>
                  <w:vMerge w:val="continue"/>
                  <w:shd w:val="clear" w:color="auto" w:fill="auto"/>
                  <w:vAlign w:val="center"/>
                </w:tcPr>
                <w:p w14:paraId="2A577C15">
                  <w:pPr>
                    <w:pStyle w:val="51"/>
                    <w:rPr>
                      <w:color w:val="auto"/>
                    </w:rPr>
                  </w:pPr>
                </w:p>
              </w:tc>
              <w:tc>
                <w:tcPr>
                  <w:tcW w:w="478" w:type="pct"/>
                  <w:vMerge w:val="continue"/>
                  <w:shd w:val="clear" w:color="auto" w:fill="auto"/>
                  <w:vAlign w:val="center"/>
                </w:tcPr>
                <w:p w14:paraId="1D2F67AD">
                  <w:pPr>
                    <w:pStyle w:val="51"/>
                    <w:rPr>
                      <w:color w:val="auto"/>
                    </w:rPr>
                  </w:pPr>
                </w:p>
              </w:tc>
              <w:tc>
                <w:tcPr>
                  <w:tcW w:w="461" w:type="pct"/>
                  <w:vMerge w:val="continue"/>
                  <w:shd w:val="clear" w:color="auto" w:fill="auto"/>
                  <w:vAlign w:val="center"/>
                </w:tcPr>
                <w:p w14:paraId="4627E9B4">
                  <w:pPr>
                    <w:pStyle w:val="51"/>
                    <w:rPr>
                      <w:color w:val="auto"/>
                    </w:rPr>
                  </w:pPr>
                </w:p>
              </w:tc>
              <w:tc>
                <w:tcPr>
                  <w:tcW w:w="518" w:type="pct"/>
                  <w:vMerge w:val="continue"/>
                  <w:shd w:val="clear" w:color="auto" w:fill="auto"/>
                  <w:vAlign w:val="center"/>
                </w:tcPr>
                <w:p w14:paraId="4874D5B8">
                  <w:pPr>
                    <w:pStyle w:val="51"/>
                    <w:rPr>
                      <w:color w:val="auto"/>
                    </w:rPr>
                  </w:pPr>
                </w:p>
              </w:tc>
              <w:tc>
                <w:tcPr>
                  <w:tcW w:w="391" w:type="pct"/>
                  <w:vMerge w:val="continue"/>
                  <w:shd w:val="clear" w:color="auto" w:fill="auto"/>
                  <w:vAlign w:val="center"/>
                </w:tcPr>
                <w:p w14:paraId="1E906C4F">
                  <w:pPr>
                    <w:pStyle w:val="51"/>
                    <w:rPr>
                      <w:color w:val="auto"/>
                    </w:rPr>
                  </w:pPr>
                </w:p>
              </w:tc>
              <w:tc>
                <w:tcPr>
                  <w:tcW w:w="738" w:type="pct"/>
                  <w:vMerge w:val="continue"/>
                  <w:shd w:val="clear" w:color="auto" w:fill="auto"/>
                  <w:vAlign w:val="center"/>
                </w:tcPr>
                <w:p w14:paraId="471B9456">
                  <w:pPr>
                    <w:pStyle w:val="51"/>
                    <w:rPr>
                      <w:color w:val="auto"/>
                    </w:rPr>
                  </w:pPr>
                </w:p>
              </w:tc>
              <w:tc>
                <w:tcPr>
                  <w:tcW w:w="337" w:type="pct"/>
                  <w:vMerge w:val="continue"/>
                  <w:shd w:val="clear" w:color="auto" w:fill="auto"/>
                  <w:vAlign w:val="center"/>
                </w:tcPr>
                <w:p w14:paraId="79C5754D">
                  <w:pPr>
                    <w:pStyle w:val="51"/>
                    <w:rPr>
                      <w:color w:val="auto"/>
                    </w:rPr>
                  </w:pPr>
                </w:p>
              </w:tc>
              <w:tc>
                <w:tcPr>
                  <w:tcW w:w="391" w:type="pct"/>
                  <w:vMerge w:val="continue"/>
                  <w:shd w:val="clear" w:color="auto" w:fill="auto"/>
                  <w:vAlign w:val="center"/>
                </w:tcPr>
                <w:p w14:paraId="6FF18F75">
                  <w:pPr>
                    <w:pStyle w:val="51"/>
                    <w:rPr>
                      <w:color w:val="auto"/>
                    </w:rPr>
                  </w:pPr>
                </w:p>
              </w:tc>
              <w:tc>
                <w:tcPr>
                  <w:tcW w:w="427" w:type="pct"/>
                  <w:shd w:val="clear" w:color="auto" w:fill="auto"/>
                  <w:vAlign w:val="center"/>
                </w:tcPr>
                <w:p w14:paraId="165DBE0E">
                  <w:pPr>
                    <w:pStyle w:val="51"/>
                    <w:rPr>
                      <w:color w:val="auto"/>
                    </w:rPr>
                  </w:pPr>
                  <w:r>
                    <w:rPr>
                      <w:color w:val="auto"/>
                    </w:rPr>
                    <w:t>TP</w:t>
                  </w:r>
                </w:p>
              </w:tc>
              <w:tc>
                <w:tcPr>
                  <w:tcW w:w="773" w:type="pct"/>
                  <w:shd w:val="clear" w:color="auto" w:fill="auto"/>
                  <w:vAlign w:val="center"/>
                </w:tcPr>
                <w:p w14:paraId="020FECDF">
                  <w:pPr>
                    <w:pStyle w:val="51"/>
                    <w:rPr>
                      <w:color w:val="auto"/>
                    </w:rPr>
                  </w:pPr>
                  <w:r>
                    <w:rPr>
                      <w:color w:val="auto"/>
                    </w:rPr>
                    <w:t>≤0.5</w:t>
                  </w:r>
                </w:p>
              </w:tc>
            </w:tr>
          </w:tbl>
          <w:p w14:paraId="42601DA8">
            <w:pPr>
              <w:pStyle w:val="47"/>
              <w:ind w:firstLine="482"/>
              <w:rPr>
                <w:b/>
                <w:bCs/>
                <w:color w:val="auto"/>
              </w:rPr>
            </w:pPr>
            <w:r>
              <w:rPr>
                <w:b/>
                <w:bCs/>
                <w:color w:val="auto"/>
              </w:rPr>
              <w:t>（3）</w:t>
            </w:r>
            <w:bookmarkStart w:id="66" w:name="_Hlk45806872"/>
            <w:r>
              <w:rPr>
                <w:b/>
                <w:bCs/>
                <w:color w:val="auto"/>
              </w:rPr>
              <w:t>污染治理设施可行性分析</w:t>
            </w:r>
          </w:p>
          <w:p w14:paraId="2B434F4A">
            <w:pPr>
              <w:pStyle w:val="47"/>
              <w:ind w:firstLine="482"/>
              <w:rPr>
                <w:b/>
                <w:bCs/>
                <w:color w:val="auto"/>
              </w:rPr>
            </w:pPr>
            <w:r>
              <w:rPr>
                <w:b/>
                <w:bCs/>
                <w:color w:val="auto"/>
              </w:rPr>
              <w:t>①治理设施技术分析</w:t>
            </w:r>
          </w:p>
          <w:p w14:paraId="1EB5809A">
            <w:pPr>
              <w:pStyle w:val="47"/>
              <w:ind w:firstLine="480"/>
              <w:rPr>
                <w:color w:val="auto"/>
              </w:rPr>
            </w:pPr>
            <w:r>
              <w:rPr>
                <w:color w:val="auto"/>
              </w:rPr>
              <w:t>本项目职工生活污水</w:t>
            </w:r>
            <w:r>
              <w:rPr>
                <w:rFonts w:hint="eastAsia"/>
                <w:color w:val="auto"/>
              </w:rPr>
              <w:t>经厂区</w:t>
            </w:r>
            <w:r>
              <w:rPr>
                <w:color w:val="auto"/>
              </w:rPr>
              <w:t>化粪池预处理</w:t>
            </w:r>
            <w:r>
              <w:rPr>
                <w:rFonts w:hint="eastAsia"/>
                <w:color w:val="auto"/>
              </w:rPr>
              <w:t>后达标接管至新袁镇污水处理厂集中处理；喷水织造废水经厂区内污水处理站处理后达标全部回用于喷水织造、不外排；磨毛用水经捞渣后循环使用，不外排</w:t>
            </w:r>
            <w:r>
              <w:rPr>
                <w:color w:val="auto"/>
              </w:rPr>
              <w:t>。</w:t>
            </w:r>
          </w:p>
          <w:p w14:paraId="051472ED">
            <w:pPr>
              <w:pStyle w:val="47"/>
              <w:ind w:firstLine="482"/>
              <w:rPr>
                <w:b/>
                <w:bCs/>
                <w:color w:val="auto"/>
              </w:rPr>
            </w:pPr>
            <w:r>
              <w:rPr>
                <w:rFonts w:hint="eastAsia"/>
                <w:b/>
                <w:bCs/>
                <w:color w:val="auto"/>
              </w:rPr>
              <w:t>1）</w:t>
            </w:r>
            <w:r>
              <w:rPr>
                <w:b/>
                <w:bCs/>
                <w:color w:val="auto"/>
              </w:rPr>
              <w:t>职工生活污水</w:t>
            </w:r>
          </w:p>
          <w:p w14:paraId="33384220">
            <w:pPr>
              <w:pStyle w:val="47"/>
              <w:ind w:firstLine="480"/>
              <w:rPr>
                <w:color w:val="auto"/>
                <w:kern w:val="0"/>
              </w:rPr>
            </w:pPr>
            <w:r>
              <w:rPr>
                <w:color w:val="auto"/>
              </w:rPr>
              <w:t>化粪池是处理粪便并加以过滤沉淀的设备，其原理是固化物在池底分解，上层的水化物进入管道流走，防止了管道堵塞，给固化物体（粪便等垃圾）有充足的时间水解。化粪池能够有效避免生活污水在环境中的扩散；在厌氧腐化作用下，能够杀灭蚊虫卵；生活污水经沉淀杂质后，大分子有机物得到部分的水解，能够改善后续的污水处理，实践证明化粪池是生活污水的有效预处理设施。</w:t>
            </w:r>
            <w:r>
              <w:rPr>
                <w:color w:val="auto"/>
                <w:kern w:val="0"/>
              </w:rPr>
              <w:t>本项目</w:t>
            </w:r>
            <w:r>
              <w:rPr>
                <w:rFonts w:hint="eastAsia"/>
                <w:color w:val="auto"/>
                <w:kern w:val="0"/>
              </w:rPr>
              <w:t>职工</w:t>
            </w:r>
            <w:r>
              <w:rPr>
                <w:color w:val="auto"/>
                <w:kern w:val="0"/>
              </w:rPr>
              <w:t>生活污水产生量为</w:t>
            </w:r>
            <w:r>
              <w:rPr>
                <w:rFonts w:hint="eastAsia"/>
                <w:color w:val="auto"/>
                <w:kern w:val="0"/>
              </w:rPr>
              <w:t>8</w:t>
            </w:r>
            <w:r>
              <w:rPr>
                <w:color w:val="auto"/>
                <w:kern w:val="0"/>
              </w:rPr>
              <w:t>m</w:t>
            </w:r>
            <w:r>
              <w:rPr>
                <w:color w:val="auto"/>
                <w:kern w:val="0"/>
                <w:vertAlign w:val="superscript"/>
              </w:rPr>
              <w:t>3</w:t>
            </w:r>
            <w:r>
              <w:rPr>
                <w:color w:val="auto"/>
                <w:kern w:val="0"/>
              </w:rPr>
              <w:t>/d，化粪池</w:t>
            </w:r>
            <w:r>
              <w:rPr>
                <w:rFonts w:hint="eastAsia"/>
                <w:color w:val="auto"/>
                <w:kern w:val="0"/>
              </w:rPr>
              <w:t>处理设计能力</w:t>
            </w:r>
            <w:r>
              <w:rPr>
                <w:color w:val="auto"/>
                <w:kern w:val="0"/>
              </w:rPr>
              <w:t>为</w:t>
            </w:r>
            <w:r>
              <w:rPr>
                <w:rFonts w:hint="eastAsia"/>
                <w:color w:val="auto"/>
                <w:kern w:val="0"/>
              </w:rPr>
              <w:t>15</w:t>
            </w:r>
            <w:r>
              <w:rPr>
                <w:color w:val="auto"/>
                <w:kern w:val="0"/>
              </w:rPr>
              <w:t>m</w:t>
            </w:r>
            <w:r>
              <w:rPr>
                <w:color w:val="auto"/>
                <w:kern w:val="0"/>
                <w:vertAlign w:val="superscript"/>
              </w:rPr>
              <w:t>3</w:t>
            </w:r>
            <w:r>
              <w:rPr>
                <w:color w:val="auto"/>
                <w:kern w:val="0"/>
              </w:rPr>
              <w:t>/d，化粪池有足够的容量处理</w:t>
            </w:r>
            <w:r>
              <w:rPr>
                <w:rFonts w:hint="eastAsia"/>
                <w:color w:val="auto"/>
                <w:kern w:val="0"/>
              </w:rPr>
              <w:t>职工</w:t>
            </w:r>
            <w:r>
              <w:rPr>
                <w:color w:val="auto"/>
                <w:kern w:val="0"/>
              </w:rPr>
              <w:t>生活污水</w:t>
            </w:r>
            <w:r>
              <w:rPr>
                <w:rFonts w:hint="eastAsia"/>
                <w:color w:val="auto"/>
                <w:kern w:val="0"/>
              </w:rPr>
              <w:t>，故本</w:t>
            </w:r>
            <w:r>
              <w:rPr>
                <w:color w:val="auto"/>
                <w:kern w:val="0"/>
              </w:rPr>
              <w:t>项目</w:t>
            </w:r>
            <w:r>
              <w:rPr>
                <w:rFonts w:hint="eastAsia"/>
                <w:color w:val="auto"/>
                <w:kern w:val="0"/>
              </w:rPr>
              <w:t>职工</w:t>
            </w:r>
            <w:r>
              <w:rPr>
                <w:color w:val="auto"/>
                <w:kern w:val="0"/>
              </w:rPr>
              <w:t>生活污水</w:t>
            </w:r>
            <w:r>
              <w:rPr>
                <w:rFonts w:hint="eastAsia"/>
                <w:color w:val="auto"/>
                <w:kern w:val="0"/>
              </w:rPr>
              <w:t>采用</w:t>
            </w:r>
            <w:r>
              <w:rPr>
                <w:color w:val="auto"/>
                <w:kern w:val="0"/>
              </w:rPr>
              <w:t>化粪池处理</w:t>
            </w:r>
            <w:r>
              <w:rPr>
                <w:rFonts w:hint="eastAsia"/>
                <w:color w:val="auto"/>
                <w:kern w:val="0"/>
              </w:rPr>
              <w:t>属于可行技术</w:t>
            </w:r>
            <w:r>
              <w:rPr>
                <w:color w:val="auto"/>
                <w:kern w:val="0"/>
              </w:rPr>
              <w:t>。</w:t>
            </w:r>
          </w:p>
          <w:p w14:paraId="692E787D">
            <w:pPr>
              <w:pStyle w:val="47"/>
              <w:ind w:firstLine="482"/>
              <w:rPr>
                <w:b/>
                <w:bCs/>
                <w:color w:val="auto"/>
              </w:rPr>
            </w:pPr>
            <w:r>
              <w:rPr>
                <w:rFonts w:hint="eastAsia"/>
                <w:b/>
                <w:bCs/>
                <w:color w:val="auto"/>
              </w:rPr>
              <w:t>2）</w:t>
            </w:r>
            <w:r>
              <w:rPr>
                <w:b/>
                <w:bCs/>
                <w:color w:val="auto"/>
              </w:rPr>
              <w:t>喷水</w:t>
            </w:r>
            <w:r>
              <w:rPr>
                <w:rFonts w:hint="eastAsia"/>
                <w:b/>
                <w:bCs/>
                <w:color w:val="auto"/>
              </w:rPr>
              <w:t>织造</w:t>
            </w:r>
            <w:r>
              <w:rPr>
                <w:b/>
                <w:bCs/>
                <w:color w:val="auto"/>
              </w:rPr>
              <w:t>废水</w:t>
            </w:r>
          </w:p>
          <w:p w14:paraId="47E6201A">
            <w:pPr>
              <w:pStyle w:val="47"/>
              <w:ind w:firstLine="480"/>
              <w:rPr>
                <w:rFonts w:hint="eastAsia"/>
                <w:color w:val="auto"/>
              </w:rPr>
            </w:pPr>
            <w:r>
              <w:rPr>
                <w:rFonts w:hint="eastAsia"/>
                <w:color w:val="auto"/>
              </w:rPr>
              <w:t>喷水织造废水收集至厂区污水处理站，污水处理站的工艺为格栅+调节+混凝气浮+</w:t>
            </w:r>
            <w:r>
              <w:rPr>
                <w:rFonts w:hint="eastAsia"/>
                <w:color w:val="auto"/>
                <w:lang w:val="en-US" w:eastAsia="zh-CN"/>
              </w:rPr>
              <w:t>生化</w:t>
            </w:r>
            <w:r>
              <w:rPr>
                <w:rFonts w:hint="eastAsia"/>
                <w:color w:val="auto"/>
              </w:rPr>
              <w:t>+二沉+砂滤+碳滤，详见</w:t>
            </w:r>
            <w:r>
              <w:rPr>
                <w:rFonts w:hint="eastAsia"/>
                <w:color w:val="auto"/>
              </w:rPr>
              <w:fldChar w:fldCharType="begin"/>
            </w:r>
            <w:r>
              <w:rPr>
                <w:rFonts w:hint="eastAsia"/>
                <w:color w:val="auto"/>
              </w:rPr>
              <w:instrText xml:space="preserve"> REF _Ref28544 \h </w:instrText>
            </w:r>
            <w:r>
              <w:rPr>
                <w:rFonts w:hint="eastAsia"/>
                <w:color w:val="auto"/>
              </w:rPr>
              <w:fldChar w:fldCharType="separate"/>
            </w:r>
            <w:r>
              <w:rPr>
                <w:color w:val="auto"/>
              </w:rPr>
              <w:t>图4- 2</w:t>
            </w:r>
            <w:r>
              <w:rPr>
                <w:rFonts w:hint="eastAsia"/>
                <w:color w:val="auto"/>
              </w:rPr>
              <w:fldChar w:fldCharType="end"/>
            </w:r>
            <w:r>
              <w:rPr>
                <w:rFonts w:hint="eastAsia"/>
                <w:color w:val="auto"/>
              </w:rPr>
              <w:t>。</w:t>
            </w:r>
          </w:p>
          <w:p w14:paraId="5168FBF0">
            <w:pPr>
              <w:pStyle w:val="7"/>
              <w:bidi w:val="0"/>
              <w:rPr>
                <w:color w:val="auto"/>
              </w:rPr>
            </w:pPr>
            <w:r>
              <w:rPr>
                <w:color w:val="auto"/>
              </w:rPr>
              <w:drawing>
                <wp:inline distT="0" distB="0" distL="114300" distR="114300">
                  <wp:extent cx="3528060" cy="4321810"/>
                  <wp:effectExtent l="0" t="0" r="15240" b="254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pic:cNvPicPr>
                            <a:picLocks noChangeAspect="1"/>
                          </pic:cNvPicPr>
                        </pic:nvPicPr>
                        <pic:blipFill>
                          <a:blip r:embed="rId15"/>
                          <a:srcRect l="21548" t="4112" r="23504" b="7771"/>
                          <a:stretch>
                            <a:fillRect/>
                          </a:stretch>
                        </pic:blipFill>
                        <pic:spPr>
                          <a:xfrm>
                            <a:off x="0" y="0"/>
                            <a:ext cx="3528060" cy="4321810"/>
                          </a:xfrm>
                          <a:prstGeom prst="rect">
                            <a:avLst/>
                          </a:prstGeom>
                          <a:noFill/>
                          <a:ln>
                            <a:noFill/>
                          </a:ln>
                        </pic:spPr>
                      </pic:pic>
                    </a:graphicData>
                  </a:graphic>
                </wp:inline>
              </w:drawing>
            </w:r>
          </w:p>
          <w:p w14:paraId="6A7CC44E">
            <w:pPr>
              <w:pStyle w:val="7"/>
              <w:bidi w:val="0"/>
              <w:rPr>
                <w:color w:val="auto"/>
              </w:rPr>
            </w:pPr>
            <w:r>
              <w:rPr>
                <w:color w:val="auto"/>
              </w:rPr>
              <w:t xml:space="preserve">图4- </w:t>
            </w:r>
            <w:r>
              <w:rPr>
                <w:color w:val="auto"/>
              </w:rPr>
              <w:fldChar w:fldCharType="begin"/>
            </w:r>
            <w:r>
              <w:rPr>
                <w:color w:val="auto"/>
              </w:rPr>
              <w:instrText xml:space="preserve"> SEQ 图4- \* ARABIC </w:instrText>
            </w:r>
            <w:r>
              <w:rPr>
                <w:color w:val="auto"/>
              </w:rPr>
              <w:fldChar w:fldCharType="separate"/>
            </w:r>
            <w:r>
              <w:rPr>
                <w:color w:val="auto"/>
              </w:rPr>
              <w:t>1</w:t>
            </w:r>
            <w:r>
              <w:rPr>
                <w:color w:val="auto"/>
              </w:rPr>
              <w:fldChar w:fldCharType="end"/>
            </w:r>
            <w:r>
              <w:rPr>
                <w:rFonts w:hint="eastAsia"/>
                <w:color w:val="auto"/>
              </w:rPr>
              <w:t xml:space="preserve"> 厂区污水处理站工艺流程</w:t>
            </w:r>
          </w:p>
          <w:p w14:paraId="3E51A4E3">
            <w:pPr>
              <w:pStyle w:val="47"/>
              <w:ind w:firstLine="480"/>
              <w:rPr>
                <w:rFonts w:hint="default" w:ascii="Times New Roman" w:hAnsi="Times New Roman" w:cs="Times New Roman"/>
                <w:color w:val="auto"/>
              </w:rPr>
            </w:pPr>
            <w:r>
              <w:rPr>
                <w:rFonts w:hint="eastAsia"/>
                <w:color w:val="auto"/>
              </w:rPr>
              <w:t>具体工艺流程</w:t>
            </w:r>
            <w:r>
              <w:rPr>
                <w:rFonts w:hint="eastAsia"/>
                <w:color w:val="auto"/>
                <w:lang w:eastAsia="zh-CN"/>
              </w:rPr>
              <w:t>：</w:t>
            </w:r>
            <w:r>
              <w:rPr>
                <w:rFonts w:hint="eastAsia"/>
                <w:color w:val="auto"/>
              </w:rPr>
              <w:t>①格栅：经格栅去除较大的悬浮物和漂浮物。②调节：调节池均衡水质。③混凝气浮：废水进入</w:t>
            </w:r>
            <w:r>
              <w:rPr>
                <w:rFonts w:hint="eastAsia"/>
                <w:color w:val="auto"/>
                <w:lang w:val="en-US" w:eastAsia="zh-CN"/>
              </w:rPr>
              <w:t>气浮前</w:t>
            </w:r>
            <w:r>
              <w:rPr>
                <w:rFonts w:hint="eastAsia"/>
                <w:color w:val="auto"/>
              </w:rPr>
              <w:t>投加PAC、PAM</w:t>
            </w:r>
            <w:r>
              <w:rPr>
                <w:rFonts w:hint="eastAsia"/>
                <w:color w:val="auto"/>
                <w:lang w:eastAsia="zh-CN"/>
              </w:rPr>
              <w:t>、</w:t>
            </w:r>
            <w:r>
              <w:rPr>
                <w:rFonts w:hint="eastAsia"/>
                <w:color w:val="auto"/>
                <w:lang w:val="en-US" w:eastAsia="zh-CN"/>
              </w:rPr>
              <w:t>PFS</w:t>
            </w:r>
            <w:r>
              <w:rPr>
                <w:rFonts w:hint="eastAsia"/>
                <w:color w:val="auto"/>
              </w:rPr>
              <w:t>药剂</w:t>
            </w:r>
            <w:r>
              <w:rPr>
                <w:rFonts w:hint="eastAsia"/>
                <w:color w:val="auto"/>
                <w:lang w:val="en-US" w:eastAsia="zh-CN"/>
              </w:rPr>
              <w:t>在</w:t>
            </w:r>
            <w:r>
              <w:rPr>
                <w:rFonts w:hint="eastAsia"/>
                <w:color w:val="auto"/>
              </w:rPr>
              <w:t>混凝气浮装置内。本项目</w:t>
            </w:r>
            <w:r>
              <w:rPr>
                <w:rFonts w:hint="eastAsia"/>
                <w:color w:val="auto"/>
                <w:lang w:val="en-US" w:eastAsia="zh-CN"/>
              </w:rPr>
              <w:t>喷水织造</w:t>
            </w:r>
            <w:r>
              <w:rPr>
                <w:rFonts w:hint="eastAsia"/>
                <w:color w:val="auto"/>
              </w:rPr>
              <w:t>废水中有总锑污染物，采用</w:t>
            </w:r>
            <w:r>
              <w:rPr>
                <w:rFonts w:hint="eastAsia"/>
                <w:color w:val="auto"/>
                <w:lang w:val="en-US" w:eastAsia="zh-CN"/>
              </w:rPr>
              <w:t>PFS</w:t>
            </w:r>
            <w:r>
              <w:rPr>
                <w:rFonts w:hint="eastAsia"/>
                <w:color w:val="auto"/>
              </w:rPr>
              <w:t>作为混凝剂，对总锑有很好的去除作用（</w:t>
            </w:r>
            <w:r>
              <w:rPr>
                <w:rFonts w:hint="eastAsia"/>
                <w:color w:val="auto"/>
                <w:lang w:val="en-US" w:eastAsia="zh-CN"/>
              </w:rPr>
              <w:t>PFS</w:t>
            </w:r>
            <w:r>
              <w:rPr>
                <w:rFonts w:hint="eastAsia"/>
                <w:color w:val="auto"/>
              </w:rPr>
              <w:t>的作用机理主要是通过形成不溶于水的锑沉淀来实现。由于锑在水中的溶解度相对较低，当锑离子与聚合硫酸铁反应后，会生成锑-铁复合物，进而形成不溶于水的锑沉淀。这些锑沉淀可以通过过滤或沉淀的方式从溶液中分离出来。通过这种方式，聚合硫酸铁可以有效地除去水中的锑）。气浮过程中，细微气泡先与水中的悬浮物粘附，形成密度小于水的气泡-颗粒复合体，悬浮粒子随气泡一起浮升到</w:t>
            </w:r>
            <w:r>
              <w:rPr>
                <w:color w:val="auto"/>
              </w:rPr>
              <w:t>水面</w:t>
            </w:r>
            <w:r>
              <w:rPr>
                <w:rFonts w:hint="eastAsia"/>
                <w:color w:val="auto"/>
                <w:lang w:eastAsia="zh-CN"/>
              </w:rPr>
              <w:t>，这样上层就会产生浮渣和浮油，同时也会产生一些沉渣，作为危险废物暂存于厂区内的危险废物仓库，统一处理。</w:t>
            </w:r>
            <w:r>
              <w:rPr>
                <w:rFonts w:hint="eastAsia"/>
                <w:color w:val="auto"/>
              </w:rPr>
              <w:t>④</w:t>
            </w:r>
            <w:r>
              <w:rPr>
                <w:rFonts w:hint="eastAsia"/>
                <w:color w:val="auto"/>
                <w:lang w:val="en-US" w:eastAsia="zh-CN"/>
              </w:rPr>
              <w:t>生化</w:t>
            </w:r>
            <w:r>
              <w:rPr>
                <w:rFonts w:hint="eastAsia"/>
                <w:color w:val="auto"/>
              </w:rPr>
              <w:t>：</w:t>
            </w:r>
            <w:r>
              <w:rPr>
                <w:color w:val="auto"/>
              </w:rPr>
              <w:t>混凝气浮装置中的下层液体流入生化段进行生化处理</w:t>
            </w:r>
            <w:r>
              <w:rPr>
                <w:rFonts w:hint="eastAsia"/>
                <w:color w:val="auto"/>
              </w:rPr>
              <w:t>。</w:t>
            </w:r>
            <w:r>
              <w:rPr>
                <w:rFonts w:hint="eastAsia"/>
                <w:color w:val="auto"/>
                <w:lang w:val="en-US" w:eastAsia="zh-CN"/>
              </w:rPr>
              <w:t>生化</w:t>
            </w:r>
            <w:r>
              <w:rPr>
                <w:rFonts w:hint="eastAsia"/>
                <w:color w:val="auto"/>
              </w:rPr>
              <w:t>过程能将废水中的非溶解态有机物截留并逐步转变为溶解态有机物，使难于生物降解大分子物质被转化为易于降解的小分子物质如有机酸等，从而使废水的可生化性和降解速度大幅度提高，以利于后续好氧生物处理；采用活性污泥法与生物接触氧化法相结合的方式，好氧曝气采用活性污泥工艺，利用好氧微生物菌群氧化分解污水中的有机物，接触氧化工艺是通过生物膜的作用进一步吸附，降解污水中的有机物。⑤二沉：废水进入二沉池沉淀，二沉池中沉淀出来的污泥一部分回流至生化段，一部分进入污泥池脱水后外运处理。</w:t>
            </w:r>
            <w:r>
              <w:rPr>
                <w:rFonts w:hint="default" w:ascii="Times New Roman" w:hAnsi="Times New Roman" w:eastAsia="微软雅黑" w:cs="Times New Roman"/>
                <w:color w:val="auto"/>
              </w:rPr>
              <w:t>⑥</w:t>
            </w:r>
            <w:r>
              <w:rPr>
                <w:rFonts w:hint="default" w:ascii="Times New Roman" w:hAnsi="Times New Roman" w:cs="Times New Roman"/>
                <w:color w:val="auto"/>
              </w:rPr>
              <w:t>砂滤+碳滤：二沉池中的上清液流入中间水池，再进入深度处理装置（石英砂过滤+活性炭过滤），通过砂滤和碳滤后的清水排入清水池全部用于生产回用，砂滤和碳滤的介质为石英砂和活性炭，介质更换周期为一年，定期进行反冲洗，反冲洗的水回流进入调节池。</w:t>
            </w:r>
          </w:p>
          <w:p w14:paraId="099060B8">
            <w:pPr>
              <w:pStyle w:val="47"/>
              <w:ind w:firstLine="480"/>
              <w:rPr>
                <w:color w:val="auto"/>
              </w:rPr>
            </w:pPr>
            <w:r>
              <w:rPr>
                <w:rFonts w:hint="eastAsia"/>
                <w:color w:val="auto"/>
              </w:rPr>
              <w:t>根据</w:t>
            </w:r>
            <w:r>
              <w:rPr>
                <w:color w:val="auto"/>
              </w:rPr>
              <w:t>《排污许可证申请与核发技术规范 纺织印染工业》</w:t>
            </w:r>
            <w:r>
              <w:rPr>
                <w:rFonts w:hint="eastAsia"/>
                <w:color w:val="auto"/>
              </w:rPr>
              <w:t>（</w:t>
            </w:r>
            <w:r>
              <w:rPr>
                <w:color w:val="auto"/>
              </w:rPr>
              <w:t>HJ961-2017</w:t>
            </w:r>
            <w:r>
              <w:rPr>
                <w:rFonts w:hint="eastAsia"/>
                <w:color w:val="auto"/>
              </w:rPr>
              <w:t>）</w:t>
            </w:r>
            <w:r>
              <w:rPr>
                <w:color w:val="auto"/>
              </w:rPr>
              <w:t>表A.1</w:t>
            </w:r>
            <w:r>
              <w:rPr>
                <w:rFonts w:hint="eastAsia"/>
                <w:color w:val="auto"/>
              </w:rPr>
              <w:t xml:space="preserve"> 纺织印染工业废水污染防治可行技术参照表，可得</w:t>
            </w:r>
            <w:r>
              <w:rPr>
                <w:color w:val="auto"/>
              </w:rPr>
              <w:t>喷水</w:t>
            </w:r>
            <w:r>
              <w:rPr>
                <w:rFonts w:hint="eastAsia"/>
                <w:color w:val="auto"/>
              </w:rPr>
              <w:t>织造</w:t>
            </w:r>
            <w:r>
              <w:rPr>
                <w:color w:val="auto"/>
              </w:rPr>
              <w:t>废水处理可行技术</w:t>
            </w:r>
            <w:r>
              <w:rPr>
                <w:rFonts w:hint="eastAsia"/>
                <w:color w:val="auto"/>
              </w:rPr>
              <w:t>为</w:t>
            </w:r>
            <w:r>
              <w:rPr>
                <w:color w:val="auto"/>
              </w:rPr>
              <w:t>一级处理：格栅、中和、混凝、气浮、沉淀；二级处理：水解酸化、厌氧生物法、好氧生物法；深度处理：曝气生物滤池、臭氧、芬顿氧化、滤池、离子交换、树脂过滤、膜分离、人工湿地、活性炭吸附、蒸发结晶。</w:t>
            </w:r>
            <w:r>
              <w:rPr>
                <w:rFonts w:hint="eastAsia"/>
                <w:color w:val="auto"/>
              </w:rPr>
              <w:t>根据</w:t>
            </w:r>
            <w:r>
              <w:rPr>
                <w:color w:val="auto"/>
              </w:rPr>
              <w:t>《纺织工业污染防治可行技术指南》</w:t>
            </w:r>
            <w:r>
              <w:rPr>
                <w:rFonts w:hint="eastAsia"/>
                <w:color w:val="auto"/>
              </w:rPr>
              <w:t>（</w:t>
            </w:r>
            <w:r>
              <w:rPr>
                <w:color w:val="auto"/>
              </w:rPr>
              <w:t>HJ1177-2021</w:t>
            </w:r>
            <w:r>
              <w:rPr>
                <w:rFonts w:hint="eastAsia"/>
                <w:color w:val="auto"/>
              </w:rPr>
              <w:t>）</w:t>
            </w:r>
            <w:r>
              <w:rPr>
                <w:color w:val="auto"/>
              </w:rPr>
              <w:t>表4</w:t>
            </w:r>
            <w:r>
              <w:rPr>
                <w:rFonts w:hint="eastAsia"/>
                <w:color w:val="auto"/>
              </w:rPr>
              <w:t xml:space="preserve"> 化纤织造废水污染防治可行技术，可得化纤</w:t>
            </w:r>
            <w:r>
              <w:rPr>
                <w:color w:val="auto"/>
              </w:rPr>
              <w:t>织造废水</w:t>
            </w:r>
            <w:r>
              <w:rPr>
                <w:rFonts w:hint="eastAsia"/>
                <w:color w:val="auto"/>
              </w:rPr>
              <w:t>处理可行技术包括格栅/筛网-调节池+混凝-气浮、格栅/筛网-调节池+混凝-气浮+好氧生物、格栅/筛网-调节池+混凝-气浮+好氧生物+混凝-气浮或沉淀</w:t>
            </w:r>
            <w:r>
              <w:rPr>
                <w:color w:val="auto"/>
              </w:rPr>
              <w:t>。</w:t>
            </w:r>
            <w:r>
              <w:rPr>
                <w:rFonts w:hint="eastAsia"/>
                <w:color w:val="auto"/>
              </w:rPr>
              <w:t>因此，</w:t>
            </w:r>
            <w:r>
              <w:rPr>
                <w:color w:val="auto"/>
              </w:rPr>
              <w:t>本项目</w:t>
            </w:r>
            <w:r>
              <w:rPr>
                <w:rFonts w:hint="eastAsia"/>
                <w:color w:val="auto"/>
              </w:rPr>
              <w:t>喷水织造</w:t>
            </w:r>
            <w:r>
              <w:rPr>
                <w:color w:val="auto"/>
              </w:rPr>
              <w:t>废水防治措施采用“格栅+调节池+混凝气浮+</w:t>
            </w:r>
            <w:r>
              <w:rPr>
                <w:rFonts w:hint="eastAsia"/>
                <w:color w:val="auto"/>
                <w:lang w:val="en-US" w:eastAsia="zh-CN"/>
              </w:rPr>
              <w:t>生化</w:t>
            </w:r>
            <w:r>
              <w:rPr>
                <w:color w:val="auto"/>
              </w:rPr>
              <w:t>+二沉+砂滤+碳滤”工艺属于可行技术。</w:t>
            </w:r>
          </w:p>
          <w:p w14:paraId="6EE4998B">
            <w:pPr>
              <w:pStyle w:val="47"/>
              <w:ind w:firstLine="480"/>
              <w:rPr>
                <w:color w:val="auto"/>
              </w:rPr>
            </w:pPr>
            <w:r>
              <w:rPr>
                <w:color w:val="auto"/>
              </w:rPr>
              <w:t>据废水源强核算及同类设施实际运行情况，本项目废水处理系统设计各阶段去除效率见</w:t>
            </w:r>
            <w:r>
              <w:rPr>
                <w:color w:val="auto"/>
              </w:rPr>
              <w:fldChar w:fldCharType="begin"/>
            </w:r>
            <w:r>
              <w:rPr>
                <w:color w:val="auto"/>
              </w:rPr>
              <w:instrText xml:space="preserve"> REF _Ref3729 \h </w:instrText>
            </w:r>
            <w:r>
              <w:rPr>
                <w:color w:val="auto"/>
              </w:rPr>
              <w:fldChar w:fldCharType="separate"/>
            </w:r>
            <w:r>
              <w:rPr>
                <w:color w:val="auto"/>
              </w:rPr>
              <w:t>表4- 13</w:t>
            </w:r>
            <w:r>
              <w:rPr>
                <w:color w:val="auto"/>
              </w:rPr>
              <w:fldChar w:fldCharType="end"/>
            </w:r>
            <w:r>
              <w:rPr>
                <w:color w:val="auto"/>
              </w:rPr>
              <w:t>。</w:t>
            </w:r>
          </w:p>
          <w:p w14:paraId="6A17A71F">
            <w:pPr>
              <w:pStyle w:val="7"/>
              <w:rPr>
                <w:color w:val="auto"/>
              </w:rPr>
            </w:pPr>
            <w:bookmarkStart w:id="67" w:name="_Ref3729"/>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13</w:t>
            </w:r>
            <w:r>
              <w:rPr>
                <w:color w:val="auto"/>
              </w:rPr>
              <w:fldChar w:fldCharType="end"/>
            </w:r>
            <w:bookmarkEnd w:id="67"/>
            <w:r>
              <w:rPr>
                <w:rFonts w:hint="eastAsia"/>
                <w:color w:val="auto"/>
              </w:rPr>
              <w:t xml:space="preserve"> </w:t>
            </w:r>
            <w:r>
              <w:rPr>
                <w:color w:val="auto"/>
              </w:rPr>
              <w:t>项目污水处理</w:t>
            </w:r>
            <w:r>
              <w:rPr>
                <w:rFonts w:hint="eastAsia"/>
                <w:color w:val="auto"/>
              </w:rPr>
              <w:t>站</w:t>
            </w:r>
            <w:r>
              <w:rPr>
                <w:color w:val="auto"/>
              </w:rPr>
              <w:t>各处理单元设计去除效率</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470"/>
              <w:gridCol w:w="750"/>
              <w:gridCol w:w="720"/>
              <w:gridCol w:w="900"/>
              <w:gridCol w:w="675"/>
              <w:gridCol w:w="780"/>
              <w:gridCol w:w="630"/>
              <w:gridCol w:w="866"/>
              <w:gridCol w:w="740"/>
            </w:tblGrid>
            <w:tr w14:paraId="2D16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34" w:type="pct"/>
                  <w:vAlign w:val="center"/>
                </w:tcPr>
                <w:p w14:paraId="7418CEA2">
                  <w:pPr>
                    <w:pStyle w:val="49"/>
                    <w:rPr>
                      <w:color w:val="auto"/>
                    </w:rPr>
                  </w:pPr>
                  <w:r>
                    <w:rPr>
                      <w:color w:val="auto"/>
                    </w:rPr>
                    <w:t>装置</w:t>
                  </w:r>
                </w:p>
              </w:tc>
              <w:tc>
                <w:tcPr>
                  <w:tcW w:w="871" w:type="pct"/>
                  <w:vAlign w:val="center"/>
                </w:tcPr>
                <w:p w14:paraId="16E68994">
                  <w:pPr>
                    <w:pStyle w:val="49"/>
                    <w:rPr>
                      <w:color w:val="auto"/>
                    </w:rPr>
                  </w:pPr>
                  <w:r>
                    <w:rPr>
                      <w:color w:val="auto"/>
                    </w:rPr>
                    <w:t>污染物</w:t>
                  </w:r>
                </w:p>
              </w:tc>
              <w:tc>
                <w:tcPr>
                  <w:tcW w:w="444" w:type="pct"/>
                  <w:vAlign w:val="center"/>
                </w:tcPr>
                <w:p w14:paraId="4C91EB41">
                  <w:pPr>
                    <w:pStyle w:val="49"/>
                    <w:rPr>
                      <w:color w:val="auto"/>
                    </w:rPr>
                  </w:pPr>
                  <w:r>
                    <w:rPr>
                      <w:color w:val="auto"/>
                    </w:rPr>
                    <w:t>pH</w:t>
                  </w:r>
                </w:p>
              </w:tc>
              <w:tc>
                <w:tcPr>
                  <w:tcW w:w="426" w:type="pct"/>
                  <w:vAlign w:val="center"/>
                </w:tcPr>
                <w:p w14:paraId="0FFBD017">
                  <w:pPr>
                    <w:pStyle w:val="49"/>
                    <w:rPr>
                      <w:color w:val="auto"/>
                    </w:rPr>
                  </w:pPr>
                  <w:r>
                    <w:rPr>
                      <w:color w:val="auto"/>
                    </w:rPr>
                    <w:t>COD</w:t>
                  </w:r>
                </w:p>
              </w:tc>
              <w:tc>
                <w:tcPr>
                  <w:tcW w:w="533" w:type="pct"/>
                  <w:vAlign w:val="center"/>
                </w:tcPr>
                <w:p w14:paraId="79C41CDA">
                  <w:pPr>
                    <w:pStyle w:val="49"/>
                    <w:rPr>
                      <w:color w:val="auto"/>
                    </w:rPr>
                  </w:pPr>
                  <w:r>
                    <w:rPr>
                      <w:color w:val="auto"/>
                    </w:rPr>
                    <w:t>SS</w:t>
                  </w:r>
                </w:p>
              </w:tc>
              <w:tc>
                <w:tcPr>
                  <w:tcW w:w="400" w:type="pct"/>
                  <w:vAlign w:val="center"/>
                </w:tcPr>
                <w:p w14:paraId="66989D37">
                  <w:pPr>
                    <w:pStyle w:val="49"/>
                    <w:rPr>
                      <w:color w:val="auto"/>
                    </w:rPr>
                  </w:pPr>
                  <w:r>
                    <w:rPr>
                      <w:color w:val="auto"/>
                    </w:rPr>
                    <w:t>氨氮</w:t>
                  </w:r>
                </w:p>
              </w:tc>
              <w:tc>
                <w:tcPr>
                  <w:tcW w:w="462" w:type="pct"/>
                  <w:vAlign w:val="center"/>
                </w:tcPr>
                <w:p w14:paraId="55BF411A">
                  <w:pPr>
                    <w:pStyle w:val="49"/>
                    <w:rPr>
                      <w:color w:val="auto"/>
                    </w:rPr>
                  </w:pPr>
                  <w:r>
                    <w:rPr>
                      <w:color w:val="auto"/>
                    </w:rPr>
                    <w:t>TP</w:t>
                  </w:r>
                </w:p>
              </w:tc>
              <w:tc>
                <w:tcPr>
                  <w:tcW w:w="373" w:type="pct"/>
                  <w:vAlign w:val="center"/>
                </w:tcPr>
                <w:p w14:paraId="1348CC86">
                  <w:pPr>
                    <w:pStyle w:val="49"/>
                    <w:rPr>
                      <w:color w:val="auto"/>
                    </w:rPr>
                  </w:pPr>
                  <w:r>
                    <w:rPr>
                      <w:color w:val="auto"/>
                    </w:rPr>
                    <w:t>TN</w:t>
                  </w:r>
                </w:p>
              </w:tc>
              <w:tc>
                <w:tcPr>
                  <w:tcW w:w="513" w:type="pct"/>
                  <w:vAlign w:val="center"/>
                </w:tcPr>
                <w:p w14:paraId="410C676A">
                  <w:pPr>
                    <w:pStyle w:val="49"/>
                    <w:rPr>
                      <w:color w:val="auto"/>
                    </w:rPr>
                  </w:pPr>
                  <w:r>
                    <w:rPr>
                      <w:color w:val="auto"/>
                    </w:rPr>
                    <w:t>石油类</w:t>
                  </w:r>
                </w:p>
              </w:tc>
              <w:tc>
                <w:tcPr>
                  <w:tcW w:w="438" w:type="pct"/>
                  <w:vAlign w:val="center"/>
                </w:tcPr>
                <w:p w14:paraId="1D41F758">
                  <w:pPr>
                    <w:pStyle w:val="49"/>
                    <w:rPr>
                      <w:color w:val="auto"/>
                    </w:rPr>
                  </w:pPr>
                  <w:r>
                    <w:rPr>
                      <w:rFonts w:hint="eastAsia"/>
                      <w:color w:val="auto"/>
                    </w:rPr>
                    <w:t>总锑</w:t>
                  </w:r>
                </w:p>
              </w:tc>
            </w:tr>
            <w:tr w14:paraId="4232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Merge w:val="restart"/>
                  <w:vAlign w:val="center"/>
                </w:tcPr>
                <w:p w14:paraId="054F0CBB">
                  <w:pPr>
                    <w:pStyle w:val="51"/>
                    <w:bidi w:val="0"/>
                    <w:rPr>
                      <w:color w:val="auto"/>
                    </w:rPr>
                  </w:pPr>
                  <w:r>
                    <w:rPr>
                      <w:color w:val="auto"/>
                    </w:rPr>
                    <w:t>格栅</w:t>
                  </w:r>
                  <w:r>
                    <w:rPr>
                      <w:rFonts w:hint="eastAsia"/>
                      <w:color w:val="auto"/>
                    </w:rPr>
                    <w:t>+</w:t>
                  </w:r>
                  <w:r>
                    <w:rPr>
                      <w:color w:val="auto"/>
                    </w:rPr>
                    <w:t>调节池</w:t>
                  </w:r>
                </w:p>
              </w:tc>
              <w:tc>
                <w:tcPr>
                  <w:tcW w:w="871" w:type="pct"/>
                  <w:vAlign w:val="center"/>
                </w:tcPr>
                <w:p w14:paraId="0A9BCF4C">
                  <w:pPr>
                    <w:pStyle w:val="51"/>
                    <w:bidi w:val="0"/>
                    <w:rPr>
                      <w:color w:val="auto"/>
                    </w:rPr>
                  </w:pPr>
                  <w:r>
                    <w:rPr>
                      <w:color w:val="auto"/>
                    </w:rPr>
                    <w:t>进水</w:t>
                  </w:r>
                  <w:r>
                    <w:rPr>
                      <w:rFonts w:hint="eastAsia"/>
                      <w:color w:val="auto"/>
                    </w:rPr>
                    <w:t>(</w:t>
                  </w:r>
                  <w:r>
                    <w:rPr>
                      <w:color w:val="auto"/>
                    </w:rPr>
                    <w:t>mg/L</w:t>
                  </w:r>
                  <w:r>
                    <w:rPr>
                      <w:rFonts w:hint="eastAsia"/>
                      <w:color w:val="auto"/>
                    </w:rPr>
                    <w:t>)</w:t>
                  </w:r>
                </w:p>
              </w:tc>
              <w:tc>
                <w:tcPr>
                  <w:tcW w:w="444" w:type="pct"/>
                  <w:vAlign w:val="center"/>
                </w:tcPr>
                <w:p w14:paraId="5B0ECF8A">
                  <w:pPr>
                    <w:pStyle w:val="51"/>
                    <w:bidi w:val="0"/>
                    <w:rPr>
                      <w:color w:val="auto"/>
                    </w:rPr>
                  </w:pPr>
                  <w:r>
                    <w:rPr>
                      <w:rFonts w:hint="default"/>
                      <w:color w:val="auto"/>
                      <w:lang w:val="en-US" w:eastAsia="zh-CN"/>
                    </w:rPr>
                    <w:t>6~9</w:t>
                  </w:r>
                </w:p>
              </w:tc>
              <w:tc>
                <w:tcPr>
                  <w:tcW w:w="426" w:type="pct"/>
                  <w:vAlign w:val="center"/>
                </w:tcPr>
                <w:p w14:paraId="7C64D0BA">
                  <w:pPr>
                    <w:pStyle w:val="51"/>
                    <w:bidi w:val="0"/>
                    <w:rPr>
                      <w:color w:val="auto"/>
                    </w:rPr>
                  </w:pPr>
                  <w:r>
                    <w:rPr>
                      <w:rFonts w:hint="default"/>
                      <w:color w:val="auto"/>
                      <w:lang w:val="en-US" w:eastAsia="zh-CN"/>
                    </w:rPr>
                    <w:t>430</w:t>
                  </w:r>
                </w:p>
              </w:tc>
              <w:tc>
                <w:tcPr>
                  <w:tcW w:w="533" w:type="pct"/>
                  <w:vAlign w:val="center"/>
                </w:tcPr>
                <w:p w14:paraId="4586D906">
                  <w:pPr>
                    <w:pStyle w:val="51"/>
                    <w:bidi w:val="0"/>
                    <w:rPr>
                      <w:color w:val="auto"/>
                    </w:rPr>
                  </w:pPr>
                  <w:r>
                    <w:rPr>
                      <w:rFonts w:hint="default"/>
                      <w:color w:val="auto"/>
                      <w:lang w:val="en-US" w:eastAsia="zh-CN"/>
                    </w:rPr>
                    <w:t>80</w:t>
                  </w:r>
                </w:p>
              </w:tc>
              <w:tc>
                <w:tcPr>
                  <w:tcW w:w="400" w:type="pct"/>
                  <w:vAlign w:val="center"/>
                </w:tcPr>
                <w:p w14:paraId="2F305C73">
                  <w:pPr>
                    <w:pStyle w:val="51"/>
                    <w:bidi w:val="0"/>
                    <w:rPr>
                      <w:color w:val="auto"/>
                    </w:rPr>
                  </w:pPr>
                  <w:r>
                    <w:rPr>
                      <w:rFonts w:hint="default"/>
                      <w:color w:val="auto"/>
                      <w:lang w:val="en-US" w:eastAsia="zh-CN"/>
                    </w:rPr>
                    <w:t>10</w:t>
                  </w:r>
                </w:p>
              </w:tc>
              <w:tc>
                <w:tcPr>
                  <w:tcW w:w="462" w:type="pct"/>
                  <w:vAlign w:val="center"/>
                </w:tcPr>
                <w:p w14:paraId="1C951968">
                  <w:pPr>
                    <w:pStyle w:val="51"/>
                    <w:bidi w:val="0"/>
                    <w:rPr>
                      <w:color w:val="auto"/>
                    </w:rPr>
                  </w:pPr>
                  <w:r>
                    <w:rPr>
                      <w:rFonts w:hint="default"/>
                      <w:color w:val="auto"/>
                      <w:lang w:val="en-US" w:eastAsia="zh-CN"/>
                    </w:rPr>
                    <w:t>20</w:t>
                  </w:r>
                </w:p>
              </w:tc>
              <w:tc>
                <w:tcPr>
                  <w:tcW w:w="373" w:type="pct"/>
                  <w:vAlign w:val="center"/>
                </w:tcPr>
                <w:p w14:paraId="61CDDBD1">
                  <w:pPr>
                    <w:pStyle w:val="51"/>
                    <w:bidi w:val="0"/>
                    <w:rPr>
                      <w:color w:val="auto"/>
                    </w:rPr>
                  </w:pPr>
                  <w:r>
                    <w:rPr>
                      <w:rFonts w:hint="default"/>
                      <w:color w:val="auto"/>
                      <w:lang w:val="en-US" w:eastAsia="zh-CN"/>
                    </w:rPr>
                    <w:t>1</w:t>
                  </w:r>
                </w:p>
              </w:tc>
              <w:tc>
                <w:tcPr>
                  <w:tcW w:w="513" w:type="pct"/>
                  <w:vAlign w:val="center"/>
                </w:tcPr>
                <w:p w14:paraId="37366C9C">
                  <w:pPr>
                    <w:pStyle w:val="51"/>
                    <w:bidi w:val="0"/>
                    <w:rPr>
                      <w:color w:val="auto"/>
                    </w:rPr>
                  </w:pPr>
                  <w:r>
                    <w:rPr>
                      <w:rFonts w:hint="default"/>
                      <w:color w:val="auto"/>
                      <w:lang w:val="en-US" w:eastAsia="zh-CN"/>
                    </w:rPr>
                    <w:t>4</w:t>
                  </w:r>
                </w:p>
              </w:tc>
              <w:tc>
                <w:tcPr>
                  <w:tcW w:w="438" w:type="pct"/>
                  <w:vAlign w:val="center"/>
                </w:tcPr>
                <w:p w14:paraId="4493A0CF">
                  <w:pPr>
                    <w:pStyle w:val="51"/>
                    <w:bidi w:val="0"/>
                    <w:rPr>
                      <w:color w:val="auto"/>
                    </w:rPr>
                  </w:pPr>
                  <w:r>
                    <w:rPr>
                      <w:rFonts w:hint="default"/>
                      <w:color w:val="auto"/>
                      <w:lang w:val="en-US" w:eastAsia="zh-CN"/>
                    </w:rPr>
                    <w:t>0.15</w:t>
                  </w:r>
                </w:p>
              </w:tc>
            </w:tr>
            <w:tr w14:paraId="195F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Merge w:val="continue"/>
                  <w:vAlign w:val="center"/>
                </w:tcPr>
                <w:p w14:paraId="598191B7">
                  <w:pPr>
                    <w:pStyle w:val="51"/>
                    <w:bidi w:val="0"/>
                    <w:rPr>
                      <w:color w:val="auto"/>
                    </w:rPr>
                  </w:pPr>
                </w:p>
              </w:tc>
              <w:tc>
                <w:tcPr>
                  <w:tcW w:w="871" w:type="pct"/>
                  <w:vAlign w:val="center"/>
                </w:tcPr>
                <w:p w14:paraId="0F9ABD54">
                  <w:pPr>
                    <w:pStyle w:val="51"/>
                    <w:bidi w:val="0"/>
                    <w:rPr>
                      <w:color w:val="auto"/>
                    </w:rPr>
                  </w:pPr>
                  <w:r>
                    <w:rPr>
                      <w:color w:val="auto"/>
                    </w:rPr>
                    <w:t>出水</w:t>
                  </w:r>
                  <w:r>
                    <w:rPr>
                      <w:rFonts w:hint="eastAsia"/>
                      <w:color w:val="auto"/>
                    </w:rPr>
                    <w:t>(</w:t>
                  </w:r>
                  <w:r>
                    <w:rPr>
                      <w:color w:val="auto"/>
                    </w:rPr>
                    <w:t>mg/L</w:t>
                  </w:r>
                  <w:r>
                    <w:rPr>
                      <w:rFonts w:hint="eastAsia"/>
                      <w:color w:val="auto"/>
                    </w:rPr>
                    <w:t>)</w:t>
                  </w:r>
                </w:p>
              </w:tc>
              <w:tc>
                <w:tcPr>
                  <w:tcW w:w="444" w:type="pct"/>
                  <w:vAlign w:val="center"/>
                </w:tcPr>
                <w:p w14:paraId="595DAC17">
                  <w:pPr>
                    <w:pStyle w:val="51"/>
                    <w:bidi w:val="0"/>
                    <w:rPr>
                      <w:color w:val="auto"/>
                    </w:rPr>
                  </w:pPr>
                  <w:r>
                    <w:rPr>
                      <w:rFonts w:hint="default"/>
                      <w:color w:val="auto"/>
                      <w:lang w:val="en-US" w:eastAsia="zh-CN"/>
                    </w:rPr>
                    <w:t>6~9</w:t>
                  </w:r>
                </w:p>
              </w:tc>
              <w:tc>
                <w:tcPr>
                  <w:tcW w:w="426" w:type="pct"/>
                  <w:vAlign w:val="center"/>
                </w:tcPr>
                <w:p w14:paraId="693D3EBC">
                  <w:pPr>
                    <w:pStyle w:val="51"/>
                    <w:bidi w:val="0"/>
                    <w:rPr>
                      <w:color w:val="auto"/>
                    </w:rPr>
                  </w:pPr>
                  <w:r>
                    <w:rPr>
                      <w:rFonts w:hint="default"/>
                      <w:color w:val="auto"/>
                      <w:lang w:val="en-US" w:eastAsia="zh-CN"/>
                    </w:rPr>
                    <w:t>430</w:t>
                  </w:r>
                </w:p>
              </w:tc>
              <w:tc>
                <w:tcPr>
                  <w:tcW w:w="533" w:type="pct"/>
                  <w:vAlign w:val="center"/>
                </w:tcPr>
                <w:p w14:paraId="42011109">
                  <w:pPr>
                    <w:pStyle w:val="51"/>
                    <w:bidi w:val="0"/>
                    <w:rPr>
                      <w:color w:val="auto"/>
                    </w:rPr>
                  </w:pPr>
                  <w:r>
                    <w:rPr>
                      <w:rFonts w:hint="default"/>
                      <w:color w:val="auto"/>
                      <w:lang w:val="en-US" w:eastAsia="zh-CN"/>
                    </w:rPr>
                    <w:t>72</w:t>
                  </w:r>
                </w:p>
              </w:tc>
              <w:tc>
                <w:tcPr>
                  <w:tcW w:w="400" w:type="pct"/>
                  <w:vAlign w:val="center"/>
                </w:tcPr>
                <w:p w14:paraId="6495A622">
                  <w:pPr>
                    <w:pStyle w:val="51"/>
                    <w:bidi w:val="0"/>
                    <w:rPr>
                      <w:color w:val="auto"/>
                    </w:rPr>
                  </w:pPr>
                  <w:r>
                    <w:rPr>
                      <w:rFonts w:hint="default"/>
                      <w:color w:val="auto"/>
                      <w:lang w:val="en-US" w:eastAsia="zh-CN"/>
                    </w:rPr>
                    <w:t>10</w:t>
                  </w:r>
                </w:p>
              </w:tc>
              <w:tc>
                <w:tcPr>
                  <w:tcW w:w="462" w:type="pct"/>
                  <w:vAlign w:val="center"/>
                </w:tcPr>
                <w:p w14:paraId="5C583D2C">
                  <w:pPr>
                    <w:pStyle w:val="51"/>
                    <w:bidi w:val="0"/>
                    <w:rPr>
                      <w:color w:val="auto"/>
                    </w:rPr>
                  </w:pPr>
                  <w:r>
                    <w:rPr>
                      <w:rFonts w:hint="default"/>
                      <w:color w:val="auto"/>
                      <w:lang w:val="en-US" w:eastAsia="zh-CN"/>
                    </w:rPr>
                    <w:t>20</w:t>
                  </w:r>
                </w:p>
              </w:tc>
              <w:tc>
                <w:tcPr>
                  <w:tcW w:w="373" w:type="pct"/>
                  <w:vAlign w:val="center"/>
                </w:tcPr>
                <w:p w14:paraId="59368912">
                  <w:pPr>
                    <w:pStyle w:val="51"/>
                    <w:bidi w:val="0"/>
                    <w:rPr>
                      <w:color w:val="auto"/>
                    </w:rPr>
                  </w:pPr>
                  <w:r>
                    <w:rPr>
                      <w:rFonts w:hint="default"/>
                      <w:color w:val="auto"/>
                      <w:lang w:val="en-US" w:eastAsia="zh-CN"/>
                    </w:rPr>
                    <w:t>1</w:t>
                  </w:r>
                </w:p>
              </w:tc>
              <w:tc>
                <w:tcPr>
                  <w:tcW w:w="513" w:type="pct"/>
                  <w:vAlign w:val="center"/>
                </w:tcPr>
                <w:p w14:paraId="434860B3">
                  <w:pPr>
                    <w:pStyle w:val="51"/>
                    <w:bidi w:val="0"/>
                    <w:rPr>
                      <w:color w:val="auto"/>
                    </w:rPr>
                  </w:pPr>
                  <w:r>
                    <w:rPr>
                      <w:rFonts w:hint="default"/>
                      <w:color w:val="auto"/>
                      <w:lang w:val="en-US" w:eastAsia="zh-CN"/>
                    </w:rPr>
                    <w:t>2.8</w:t>
                  </w:r>
                </w:p>
              </w:tc>
              <w:tc>
                <w:tcPr>
                  <w:tcW w:w="438" w:type="pct"/>
                  <w:vAlign w:val="center"/>
                </w:tcPr>
                <w:p w14:paraId="3F4D628A">
                  <w:pPr>
                    <w:pStyle w:val="51"/>
                    <w:bidi w:val="0"/>
                    <w:rPr>
                      <w:color w:val="auto"/>
                    </w:rPr>
                  </w:pPr>
                  <w:r>
                    <w:rPr>
                      <w:rFonts w:hint="default"/>
                      <w:color w:val="auto"/>
                      <w:lang w:val="en-US" w:eastAsia="zh-CN"/>
                    </w:rPr>
                    <w:t>0.15</w:t>
                  </w:r>
                </w:p>
              </w:tc>
            </w:tr>
            <w:tr w14:paraId="7FBA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Merge w:val="continue"/>
                  <w:vAlign w:val="center"/>
                </w:tcPr>
                <w:p w14:paraId="7263455B">
                  <w:pPr>
                    <w:pStyle w:val="51"/>
                    <w:bidi w:val="0"/>
                    <w:rPr>
                      <w:color w:val="auto"/>
                    </w:rPr>
                  </w:pPr>
                </w:p>
              </w:tc>
              <w:tc>
                <w:tcPr>
                  <w:tcW w:w="871" w:type="pct"/>
                  <w:vAlign w:val="center"/>
                </w:tcPr>
                <w:p w14:paraId="474F80E8">
                  <w:pPr>
                    <w:pStyle w:val="51"/>
                    <w:bidi w:val="0"/>
                    <w:rPr>
                      <w:color w:val="auto"/>
                    </w:rPr>
                  </w:pPr>
                  <w:r>
                    <w:rPr>
                      <w:color w:val="auto"/>
                    </w:rPr>
                    <w:t>去除率</w:t>
                  </w:r>
                  <w:r>
                    <w:rPr>
                      <w:rFonts w:hint="eastAsia"/>
                      <w:color w:val="auto"/>
                    </w:rPr>
                    <w:t>(</w:t>
                  </w:r>
                  <w:r>
                    <w:rPr>
                      <w:color w:val="auto"/>
                    </w:rPr>
                    <w:t>%</w:t>
                  </w:r>
                  <w:r>
                    <w:rPr>
                      <w:rFonts w:hint="eastAsia"/>
                      <w:color w:val="auto"/>
                    </w:rPr>
                    <w:t>)</w:t>
                  </w:r>
                </w:p>
              </w:tc>
              <w:tc>
                <w:tcPr>
                  <w:tcW w:w="444" w:type="pct"/>
                  <w:vAlign w:val="center"/>
                </w:tcPr>
                <w:p w14:paraId="11B96688">
                  <w:pPr>
                    <w:pStyle w:val="51"/>
                    <w:bidi w:val="0"/>
                    <w:rPr>
                      <w:color w:val="auto"/>
                    </w:rPr>
                  </w:pPr>
                  <w:r>
                    <w:rPr>
                      <w:rFonts w:hint="default"/>
                      <w:color w:val="auto"/>
                      <w:lang w:val="en-US" w:eastAsia="zh-CN"/>
                    </w:rPr>
                    <w:t>/</w:t>
                  </w:r>
                </w:p>
              </w:tc>
              <w:tc>
                <w:tcPr>
                  <w:tcW w:w="426" w:type="pct"/>
                  <w:vAlign w:val="center"/>
                </w:tcPr>
                <w:p w14:paraId="4DFD42B4">
                  <w:pPr>
                    <w:pStyle w:val="51"/>
                    <w:bidi w:val="0"/>
                    <w:rPr>
                      <w:color w:val="auto"/>
                    </w:rPr>
                  </w:pPr>
                  <w:r>
                    <w:rPr>
                      <w:rFonts w:hint="default"/>
                      <w:color w:val="auto"/>
                      <w:lang w:val="en-US" w:eastAsia="zh-CN"/>
                    </w:rPr>
                    <w:t>0</w:t>
                  </w:r>
                </w:p>
              </w:tc>
              <w:tc>
                <w:tcPr>
                  <w:tcW w:w="533" w:type="pct"/>
                  <w:vAlign w:val="center"/>
                </w:tcPr>
                <w:p w14:paraId="695C2B53">
                  <w:pPr>
                    <w:pStyle w:val="51"/>
                    <w:bidi w:val="0"/>
                    <w:rPr>
                      <w:color w:val="auto"/>
                    </w:rPr>
                  </w:pPr>
                  <w:r>
                    <w:rPr>
                      <w:rFonts w:hint="default"/>
                      <w:color w:val="auto"/>
                      <w:lang w:val="en-US" w:eastAsia="zh-CN"/>
                    </w:rPr>
                    <w:t>10</w:t>
                  </w:r>
                </w:p>
              </w:tc>
              <w:tc>
                <w:tcPr>
                  <w:tcW w:w="400" w:type="pct"/>
                  <w:vAlign w:val="center"/>
                </w:tcPr>
                <w:p w14:paraId="26501DA1">
                  <w:pPr>
                    <w:pStyle w:val="51"/>
                    <w:bidi w:val="0"/>
                    <w:rPr>
                      <w:color w:val="auto"/>
                    </w:rPr>
                  </w:pPr>
                  <w:r>
                    <w:rPr>
                      <w:rFonts w:hint="default"/>
                      <w:color w:val="auto"/>
                      <w:lang w:val="en-US" w:eastAsia="zh-CN"/>
                    </w:rPr>
                    <w:t>0</w:t>
                  </w:r>
                </w:p>
              </w:tc>
              <w:tc>
                <w:tcPr>
                  <w:tcW w:w="462" w:type="pct"/>
                  <w:vAlign w:val="center"/>
                </w:tcPr>
                <w:p w14:paraId="6F3AAEE3">
                  <w:pPr>
                    <w:pStyle w:val="51"/>
                    <w:bidi w:val="0"/>
                    <w:rPr>
                      <w:color w:val="auto"/>
                    </w:rPr>
                  </w:pPr>
                  <w:r>
                    <w:rPr>
                      <w:rFonts w:hint="default"/>
                      <w:color w:val="auto"/>
                      <w:lang w:val="en-US" w:eastAsia="zh-CN"/>
                    </w:rPr>
                    <w:t>0</w:t>
                  </w:r>
                </w:p>
              </w:tc>
              <w:tc>
                <w:tcPr>
                  <w:tcW w:w="373" w:type="pct"/>
                  <w:vAlign w:val="center"/>
                </w:tcPr>
                <w:p w14:paraId="46B8A93E">
                  <w:pPr>
                    <w:pStyle w:val="51"/>
                    <w:bidi w:val="0"/>
                    <w:rPr>
                      <w:color w:val="auto"/>
                    </w:rPr>
                  </w:pPr>
                  <w:r>
                    <w:rPr>
                      <w:rFonts w:hint="default"/>
                      <w:color w:val="auto"/>
                      <w:lang w:val="en-US" w:eastAsia="zh-CN"/>
                    </w:rPr>
                    <w:t>0</w:t>
                  </w:r>
                </w:p>
              </w:tc>
              <w:tc>
                <w:tcPr>
                  <w:tcW w:w="513" w:type="pct"/>
                  <w:vAlign w:val="center"/>
                </w:tcPr>
                <w:p w14:paraId="17DE912B">
                  <w:pPr>
                    <w:pStyle w:val="51"/>
                    <w:bidi w:val="0"/>
                    <w:rPr>
                      <w:color w:val="auto"/>
                    </w:rPr>
                  </w:pPr>
                  <w:r>
                    <w:rPr>
                      <w:rFonts w:hint="default"/>
                      <w:color w:val="auto"/>
                      <w:lang w:val="en-US" w:eastAsia="zh-CN"/>
                    </w:rPr>
                    <w:t>30</w:t>
                  </w:r>
                </w:p>
              </w:tc>
              <w:tc>
                <w:tcPr>
                  <w:tcW w:w="438" w:type="pct"/>
                  <w:vAlign w:val="center"/>
                </w:tcPr>
                <w:p w14:paraId="15400D3B">
                  <w:pPr>
                    <w:pStyle w:val="51"/>
                    <w:bidi w:val="0"/>
                    <w:rPr>
                      <w:color w:val="auto"/>
                    </w:rPr>
                  </w:pPr>
                  <w:r>
                    <w:rPr>
                      <w:rFonts w:hint="default"/>
                      <w:color w:val="auto"/>
                      <w:lang w:val="en-US" w:eastAsia="zh-CN"/>
                    </w:rPr>
                    <w:t>0</w:t>
                  </w:r>
                </w:p>
              </w:tc>
            </w:tr>
            <w:tr w14:paraId="79BA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Merge w:val="restart"/>
                  <w:vAlign w:val="center"/>
                </w:tcPr>
                <w:p w14:paraId="68283E83">
                  <w:pPr>
                    <w:pStyle w:val="51"/>
                    <w:bidi w:val="0"/>
                    <w:rPr>
                      <w:color w:val="auto"/>
                    </w:rPr>
                  </w:pPr>
                  <w:r>
                    <w:rPr>
                      <w:color w:val="auto"/>
                    </w:rPr>
                    <w:t>混凝气浮</w:t>
                  </w:r>
                </w:p>
              </w:tc>
              <w:tc>
                <w:tcPr>
                  <w:tcW w:w="871" w:type="pct"/>
                  <w:vAlign w:val="center"/>
                </w:tcPr>
                <w:p w14:paraId="05CF131F">
                  <w:pPr>
                    <w:pStyle w:val="51"/>
                    <w:bidi w:val="0"/>
                    <w:rPr>
                      <w:color w:val="auto"/>
                    </w:rPr>
                  </w:pPr>
                  <w:r>
                    <w:rPr>
                      <w:color w:val="auto"/>
                    </w:rPr>
                    <w:t>进水</w:t>
                  </w:r>
                  <w:r>
                    <w:rPr>
                      <w:rFonts w:hint="eastAsia"/>
                      <w:color w:val="auto"/>
                    </w:rPr>
                    <w:t>(</w:t>
                  </w:r>
                  <w:r>
                    <w:rPr>
                      <w:color w:val="auto"/>
                    </w:rPr>
                    <w:t>mg/L</w:t>
                  </w:r>
                  <w:r>
                    <w:rPr>
                      <w:rFonts w:hint="eastAsia"/>
                      <w:color w:val="auto"/>
                    </w:rPr>
                    <w:t>)</w:t>
                  </w:r>
                </w:p>
              </w:tc>
              <w:tc>
                <w:tcPr>
                  <w:tcW w:w="444" w:type="pct"/>
                  <w:vAlign w:val="center"/>
                </w:tcPr>
                <w:p w14:paraId="5BEB7B62">
                  <w:pPr>
                    <w:pStyle w:val="51"/>
                    <w:bidi w:val="0"/>
                    <w:rPr>
                      <w:color w:val="auto"/>
                    </w:rPr>
                  </w:pPr>
                  <w:r>
                    <w:rPr>
                      <w:rFonts w:hint="default"/>
                      <w:color w:val="auto"/>
                      <w:lang w:val="en-US" w:eastAsia="zh-CN"/>
                    </w:rPr>
                    <w:t>6~9</w:t>
                  </w:r>
                </w:p>
              </w:tc>
              <w:tc>
                <w:tcPr>
                  <w:tcW w:w="426" w:type="pct"/>
                  <w:vAlign w:val="center"/>
                </w:tcPr>
                <w:p w14:paraId="5BF696B7">
                  <w:pPr>
                    <w:pStyle w:val="51"/>
                    <w:bidi w:val="0"/>
                    <w:rPr>
                      <w:color w:val="auto"/>
                    </w:rPr>
                  </w:pPr>
                  <w:r>
                    <w:rPr>
                      <w:rFonts w:hint="default"/>
                      <w:color w:val="auto"/>
                      <w:lang w:val="en-US" w:eastAsia="zh-CN"/>
                    </w:rPr>
                    <w:t>430</w:t>
                  </w:r>
                </w:p>
              </w:tc>
              <w:tc>
                <w:tcPr>
                  <w:tcW w:w="533" w:type="pct"/>
                  <w:vAlign w:val="center"/>
                </w:tcPr>
                <w:p w14:paraId="5CC0A4C6">
                  <w:pPr>
                    <w:pStyle w:val="51"/>
                    <w:bidi w:val="0"/>
                    <w:rPr>
                      <w:color w:val="auto"/>
                    </w:rPr>
                  </w:pPr>
                  <w:r>
                    <w:rPr>
                      <w:rFonts w:hint="default"/>
                      <w:color w:val="auto"/>
                      <w:lang w:val="en-US" w:eastAsia="zh-CN"/>
                    </w:rPr>
                    <w:t>72</w:t>
                  </w:r>
                </w:p>
              </w:tc>
              <w:tc>
                <w:tcPr>
                  <w:tcW w:w="400" w:type="pct"/>
                  <w:vAlign w:val="center"/>
                </w:tcPr>
                <w:p w14:paraId="5372A618">
                  <w:pPr>
                    <w:pStyle w:val="51"/>
                    <w:bidi w:val="0"/>
                    <w:rPr>
                      <w:color w:val="auto"/>
                    </w:rPr>
                  </w:pPr>
                  <w:r>
                    <w:rPr>
                      <w:rFonts w:hint="default"/>
                      <w:color w:val="auto"/>
                      <w:lang w:val="en-US" w:eastAsia="zh-CN"/>
                    </w:rPr>
                    <w:t>10</w:t>
                  </w:r>
                </w:p>
              </w:tc>
              <w:tc>
                <w:tcPr>
                  <w:tcW w:w="462" w:type="pct"/>
                  <w:vAlign w:val="center"/>
                </w:tcPr>
                <w:p w14:paraId="07872F28">
                  <w:pPr>
                    <w:pStyle w:val="51"/>
                    <w:bidi w:val="0"/>
                    <w:rPr>
                      <w:color w:val="auto"/>
                    </w:rPr>
                  </w:pPr>
                  <w:r>
                    <w:rPr>
                      <w:rFonts w:hint="default"/>
                      <w:color w:val="auto"/>
                      <w:lang w:val="en-US" w:eastAsia="zh-CN"/>
                    </w:rPr>
                    <w:t>20</w:t>
                  </w:r>
                </w:p>
              </w:tc>
              <w:tc>
                <w:tcPr>
                  <w:tcW w:w="373" w:type="pct"/>
                  <w:vAlign w:val="center"/>
                </w:tcPr>
                <w:p w14:paraId="5E8EB561">
                  <w:pPr>
                    <w:pStyle w:val="51"/>
                    <w:bidi w:val="0"/>
                    <w:rPr>
                      <w:color w:val="auto"/>
                    </w:rPr>
                  </w:pPr>
                  <w:r>
                    <w:rPr>
                      <w:rFonts w:hint="default"/>
                      <w:color w:val="auto"/>
                      <w:lang w:val="en-US" w:eastAsia="zh-CN"/>
                    </w:rPr>
                    <w:t>1</w:t>
                  </w:r>
                </w:p>
              </w:tc>
              <w:tc>
                <w:tcPr>
                  <w:tcW w:w="513" w:type="pct"/>
                  <w:vAlign w:val="center"/>
                </w:tcPr>
                <w:p w14:paraId="17AC0F66">
                  <w:pPr>
                    <w:pStyle w:val="51"/>
                    <w:bidi w:val="0"/>
                    <w:rPr>
                      <w:color w:val="auto"/>
                    </w:rPr>
                  </w:pPr>
                  <w:r>
                    <w:rPr>
                      <w:rFonts w:hint="default"/>
                      <w:color w:val="auto"/>
                      <w:lang w:val="en-US" w:eastAsia="zh-CN"/>
                    </w:rPr>
                    <w:t>2.8</w:t>
                  </w:r>
                </w:p>
              </w:tc>
              <w:tc>
                <w:tcPr>
                  <w:tcW w:w="438" w:type="pct"/>
                  <w:vAlign w:val="center"/>
                </w:tcPr>
                <w:p w14:paraId="1E6164DA">
                  <w:pPr>
                    <w:pStyle w:val="51"/>
                    <w:bidi w:val="0"/>
                    <w:rPr>
                      <w:color w:val="auto"/>
                    </w:rPr>
                  </w:pPr>
                  <w:r>
                    <w:rPr>
                      <w:rFonts w:hint="default"/>
                      <w:color w:val="auto"/>
                      <w:lang w:val="en-US" w:eastAsia="zh-CN"/>
                    </w:rPr>
                    <w:t>0.15</w:t>
                  </w:r>
                </w:p>
              </w:tc>
            </w:tr>
            <w:tr w14:paraId="6DF1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Merge w:val="continue"/>
                  <w:vAlign w:val="center"/>
                </w:tcPr>
                <w:p w14:paraId="28922946">
                  <w:pPr>
                    <w:pStyle w:val="51"/>
                    <w:bidi w:val="0"/>
                    <w:rPr>
                      <w:color w:val="auto"/>
                    </w:rPr>
                  </w:pPr>
                </w:p>
              </w:tc>
              <w:tc>
                <w:tcPr>
                  <w:tcW w:w="871" w:type="pct"/>
                  <w:vAlign w:val="center"/>
                </w:tcPr>
                <w:p w14:paraId="388DC0D5">
                  <w:pPr>
                    <w:pStyle w:val="51"/>
                    <w:bidi w:val="0"/>
                    <w:rPr>
                      <w:color w:val="auto"/>
                    </w:rPr>
                  </w:pPr>
                  <w:r>
                    <w:rPr>
                      <w:color w:val="auto"/>
                    </w:rPr>
                    <w:t>出水</w:t>
                  </w:r>
                  <w:r>
                    <w:rPr>
                      <w:rFonts w:hint="eastAsia"/>
                      <w:color w:val="auto"/>
                    </w:rPr>
                    <w:t>(</w:t>
                  </w:r>
                  <w:r>
                    <w:rPr>
                      <w:color w:val="auto"/>
                    </w:rPr>
                    <w:t>mg/L</w:t>
                  </w:r>
                  <w:r>
                    <w:rPr>
                      <w:rFonts w:hint="eastAsia"/>
                      <w:color w:val="auto"/>
                    </w:rPr>
                    <w:t>)</w:t>
                  </w:r>
                </w:p>
              </w:tc>
              <w:tc>
                <w:tcPr>
                  <w:tcW w:w="444" w:type="pct"/>
                  <w:vAlign w:val="center"/>
                </w:tcPr>
                <w:p w14:paraId="1E471431">
                  <w:pPr>
                    <w:pStyle w:val="51"/>
                    <w:bidi w:val="0"/>
                    <w:rPr>
                      <w:color w:val="auto"/>
                    </w:rPr>
                  </w:pPr>
                  <w:r>
                    <w:rPr>
                      <w:rFonts w:hint="default"/>
                      <w:color w:val="auto"/>
                      <w:lang w:val="en-US" w:eastAsia="zh-CN"/>
                    </w:rPr>
                    <w:t>6~9</w:t>
                  </w:r>
                </w:p>
              </w:tc>
              <w:tc>
                <w:tcPr>
                  <w:tcW w:w="426" w:type="pct"/>
                  <w:vAlign w:val="center"/>
                </w:tcPr>
                <w:p w14:paraId="16E00342">
                  <w:pPr>
                    <w:pStyle w:val="51"/>
                    <w:bidi w:val="0"/>
                    <w:rPr>
                      <w:color w:val="auto"/>
                    </w:rPr>
                  </w:pPr>
                  <w:r>
                    <w:rPr>
                      <w:rFonts w:hint="default"/>
                      <w:color w:val="auto"/>
                      <w:lang w:val="en-US" w:eastAsia="zh-CN"/>
                    </w:rPr>
                    <w:t>215</w:t>
                  </w:r>
                </w:p>
              </w:tc>
              <w:tc>
                <w:tcPr>
                  <w:tcW w:w="533" w:type="pct"/>
                  <w:vAlign w:val="center"/>
                </w:tcPr>
                <w:p w14:paraId="4E66091D">
                  <w:pPr>
                    <w:pStyle w:val="51"/>
                    <w:bidi w:val="0"/>
                    <w:rPr>
                      <w:color w:val="auto"/>
                    </w:rPr>
                  </w:pPr>
                  <w:r>
                    <w:rPr>
                      <w:rFonts w:hint="default"/>
                      <w:color w:val="auto"/>
                      <w:lang w:val="en-US" w:eastAsia="zh-CN"/>
                    </w:rPr>
                    <w:t>50.4</w:t>
                  </w:r>
                </w:p>
              </w:tc>
              <w:tc>
                <w:tcPr>
                  <w:tcW w:w="400" w:type="pct"/>
                  <w:vAlign w:val="center"/>
                </w:tcPr>
                <w:p w14:paraId="19924DF4">
                  <w:pPr>
                    <w:pStyle w:val="51"/>
                    <w:bidi w:val="0"/>
                    <w:rPr>
                      <w:color w:val="auto"/>
                    </w:rPr>
                  </w:pPr>
                  <w:r>
                    <w:rPr>
                      <w:rFonts w:hint="default"/>
                      <w:color w:val="auto"/>
                      <w:lang w:val="en-US" w:eastAsia="zh-CN"/>
                    </w:rPr>
                    <w:t xml:space="preserve">7 </w:t>
                  </w:r>
                </w:p>
              </w:tc>
              <w:tc>
                <w:tcPr>
                  <w:tcW w:w="462" w:type="pct"/>
                  <w:vAlign w:val="center"/>
                </w:tcPr>
                <w:p w14:paraId="37039F93">
                  <w:pPr>
                    <w:pStyle w:val="51"/>
                    <w:bidi w:val="0"/>
                    <w:rPr>
                      <w:color w:val="auto"/>
                    </w:rPr>
                  </w:pPr>
                  <w:r>
                    <w:rPr>
                      <w:rFonts w:hint="default"/>
                      <w:color w:val="auto"/>
                      <w:lang w:val="en-US" w:eastAsia="zh-CN"/>
                    </w:rPr>
                    <w:t>14</w:t>
                  </w:r>
                </w:p>
              </w:tc>
              <w:tc>
                <w:tcPr>
                  <w:tcW w:w="373" w:type="pct"/>
                  <w:vAlign w:val="center"/>
                </w:tcPr>
                <w:p w14:paraId="402D304E">
                  <w:pPr>
                    <w:pStyle w:val="51"/>
                    <w:bidi w:val="0"/>
                    <w:rPr>
                      <w:color w:val="auto"/>
                    </w:rPr>
                  </w:pPr>
                  <w:r>
                    <w:rPr>
                      <w:rFonts w:hint="default"/>
                      <w:color w:val="auto"/>
                      <w:lang w:val="en-US" w:eastAsia="zh-CN"/>
                    </w:rPr>
                    <w:t>0.7</w:t>
                  </w:r>
                </w:p>
              </w:tc>
              <w:tc>
                <w:tcPr>
                  <w:tcW w:w="513" w:type="pct"/>
                  <w:vAlign w:val="center"/>
                </w:tcPr>
                <w:p w14:paraId="6147C70A">
                  <w:pPr>
                    <w:pStyle w:val="51"/>
                    <w:bidi w:val="0"/>
                    <w:rPr>
                      <w:color w:val="auto"/>
                    </w:rPr>
                  </w:pPr>
                  <w:r>
                    <w:rPr>
                      <w:rFonts w:hint="default"/>
                      <w:color w:val="auto"/>
                      <w:lang w:val="en-US" w:eastAsia="zh-CN"/>
                    </w:rPr>
                    <w:t>1.12</w:t>
                  </w:r>
                </w:p>
              </w:tc>
              <w:tc>
                <w:tcPr>
                  <w:tcW w:w="438" w:type="pct"/>
                  <w:vAlign w:val="center"/>
                </w:tcPr>
                <w:p w14:paraId="27A2AAC7">
                  <w:pPr>
                    <w:pStyle w:val="51"/>
                    <w:bidi w:val="0"/>
                    <w:rPr>
                      <w:color w:val="auto"/>
                    </w:rPr>
                  </w:pPr>
                  <w:r>
                    <w:rPr>
                      <w:rFonts w:hint="default"/>
                      <w:color w:val="auto"/>
                      <w:lang w:val="en-US" w:eastAsia="zh-CN"/>
                    </w:rPr>
                    <w:t>0.15</w:t>
                  </w:r>
                </w:p>
              </w:tc>
            </w:tr>
            <w:tr w14:paraId="0903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Merge w:val="continue"/>
                  <w:vAlign w:val="center"/>
                </w:tcPr>
                <w:p w14:paraId="3E1B3171">
                  <w:pPr>
                    <w:pStyle w:val="51"/>
                    <w:bidi w:val="0"/>
                    <w:rPr>
                      <w:color w:val="auto"/>
                    </w:rPr>
                  </w:pPr>
                </w:p>
              </w:tc>
              <w:tc>
                <w:tcPr>
                  <w:tcW w:w="871" w:type="pct"/>
                  <w:vAlign w:val="center"/>
                </w:tcPr>
                <w:p w14:paraId="656BCB8D">
                  <w:pPr>
                    <w:pStyle w:val="51"/>
                    <w:bidi w:val="0"/>
                    <w:rPr>
                      <w:color w:val="auto"/>
                    </w:rPr>
                  </w:pPr>
                  <w:r>
                    <w:rPr>
                      <w:color w:val="auto"/>
                    </w:rPr>
                    <w:t>去除率</w:t>
                  </w:r>
                  <w:r>
                    <w:rPr>
                      <w:rFonts w:hint="eastAsia"/>
                      <w:color w:val="auto"/>
                    </w:rPr>
                    <w:t>(</w:t>
                  </w:r>
                  <w:r>
                    <w:rPr>
                      <w:color w:val="auto"/>
                    </w:rPr>
                    <w:t>%</w:t>
                  </w:r>
                  <w:r>
                    <w:rPr>
                      <w:rFonts w:hint="eastAsia"/>
                      <w:color w:val="auto"/>
                    </w:rPr>
                    <w:t>)</w:t>
                  </w:r>
                </w:p>
              </w:tc>
              <w:tc>
                <w:tcPr>
                  <w:tcW w:w="444" w:type="pct"/>
                  <w:vAlign w:val="center"/>
                </w:tcPr>
                <w:p w14:paraId="7D8E7167">
                  <w:pPr>
                    <w:pStyle w:val="51"/>
                    <w:bidi w:val="0"/>
                    <w:rPr>
                      <w:color w:val="auto"/>
                    </w:rPr>
                  </w:pPr>
                  <w:r>
                    <w:rPr>
                      <w:rFonts w:hint="default"/>
                      <w:color w:val="auto"/>
                      <w:lang w:val="en-US" w:eastAsia="zh-CN"/>
                    </w:rPr>
                    <w:t>/</w:t>
                  </w:r>
                </w:p>
              </w:tc>
              <w:tc>
                <w:tcPr>
                  <w:tcW w:w="426" w:type="pct"/>
                  <w:vAlign w:val="center"/>
                </w:tcPr>
                <w:p w14:paraId="3897CE99">
                  <w:pPr>
                    <w:pStyle w:val="51"/>
                    <w:bidi w:val="0"/>
                    <w:rPr>
                      <w:color w:val="auto"/>
                    </w:rPr>
                  </w:pPr>
                  <w:r>
                    <w:rPr>
                      <w:rFonts w:hint="default"/>
                      <w:color w:val="auto"/>
                      <w:lang w:val="en-US" w:eastAsia="zh-CN"/>
                    </w:rPr>
                    <w:t>50</w:t>
                  </w:r>
                </w:p>
              </w:tc>
              <w:tc>
                <w:tcPr>
                  <w:tcW w:w="533" w:type="pct"/>
                  <w:vAlign w:val="center"/>
                </w:tcPr>
                <w:p w14:paraId="5645EF88">
                  <w:pPr>
                    <w:pStyle w:val="51"/>
                    <w:bidi w:val="0"/>
                    <w:rPr>
                      <w:color w:val="auto"/>
                    </w:rPr>
                  </w:pPr>
                  <w:r>
                    <w:rPr>
                      <w:rFonts w:hint="default"/>
                      <w:color w:val="auto"/>
                      <w:lang w:val="en-US" w:eastAsia="zh-CN"/>
                    </w:rPr>
                    <w:t>30</w:t>
                  </w:r>
                </w:p>
              </w:tc>
              <w:tc>
                <w:tcPr>
                  <w:tcW w:w="400" w:type="pct"/>
                  <w:vAlign w:val="center"/>
                </w:tcPr>
                <w:p w14:paraId="20073B9F">
                  <w:pPr>
                    <w:pStyle w:val="51"/>
                    <w:bidi w:val="0"/>
                    <w:rPr>
                      <w:color w:val="auto"/>
                    </w:rPr>
                  </w:pPr>
                  <w:r>
                    <w:rPr>
                      <w:rFonts w:hint="default"/>
                      <w:color w:val="auto"/>
                      <w:lang w:val="en-US" w:eastAsia="zh-CN"/>
                    </w:rPr>
                    <w:t>30</w:t>
                  </w:r>
                </w:p>
              </w:tc>
              <w:tc>
                <w:tcPr>
                  <w:tcW w:w="462" w:type="pct"/>
                  <w:vAlign w:val="center"/>
                </w:tcPr>
                <w:p w14:paraId="25D72753">
                  <w:pPr>
                    <w:pStyle w:val="51"/>
                    <w:bidi w:val="0"/>
                    <w:rPr>
                      <w:color w:val="auto"/>
                    </w:rPr>
                  </w:pPr>
                  <w:r>
                    <w:rPr>
                      <w:rFonts w:hint="default"/>
                      <w:color w:val="auto"/>
                      <w:lang w:val="en-US" w:eastAsia="zh-CN"/>
                    </w:rPr>
                    <w:t>30</w:t>
                  </w:r>
                </w:p>
              </w:tc>
              <w:tc>
                <w:tcPr>
                  <w:tcW w:w="373" w:type="pct"/>
                  <w:vAlign w:val="center"/>
                </w:tcPr>
                <w:p w14:paraId="26DD0D5D">
                  <w:pPr>
                    <w:pStyle w:val="51"/>
                    <w:bidi w:val="0"/>
                    <w:rPr>
                      <w:color w:val="auto"/>
                    </w:rPr>
                  </w:pPr>
                  <w:r>
                    <w:rPr>
                      <w:rFonts w:hint="default"/>
                      <w:color w:val="auto"/>
                      <w:lang w:val="en-US" w:eastAsia="zh-CN"/>
                    </w:rPr>
                    <w:t>30</w:t>
                  </w:r>
                </w:p>
              </w:tc>
              <w:tc>
                <w:tcPr>
                  <w:tcW w:w="513" w:type="pct"/>
                  <w:vAlign w:val="center"/>
                </w:tcPr>
                <w:p w14:paraId="03DAEA74">
                  <w:pPr>
                    <w:pStyle w:val="51"/>
                    <w:bidi w:val="0"/>
                    <w:rPr>
                      <w:color w:val="auto"/>
                    </w:rPr>
                  </w:pPr>
                  <w:r>
                    <w:rPr>
                      <w:rFonts w:hint="default"/>
                      <w:color w:val="auto"/>
                      <w:lang w:val="en-US" w:eastAsia="zh-CN"/>
                    </w:rPr>
                    <w:t>60</w:t>
                  </w:r>
                </w:p>
              </w:tc>
              <w:tc>
                <w:tcPr>
                  <w:tcW w:w="438" w:type="pct"/>
                  <w:vAlign w:val="center"/>
                </w:tcPr>
                <w:p w14:paraId="4AA0B394">
                  <w:pPr>
                    <w:pStyle w:val="51"/>
                    <w:bidi w:val="0"/>
                    <w:rPr>
                      <w:color w:val="auto"/>
                    </w:rPr>
                  </w:pPr>
                  <w:r>
                    <w:rPr>
                      <w:rFonts w:hint="default"/>
                      <w:color w:val="auto"/>
                      <w:lang w:val="en-US" w:eastAsia="zh-CN"/>
                    </w:rPr>
                    <w:t>0</w:t>
                  </w:r>
                </w:p>
              </w:tc>
            </w:tr>
            <w:tr w14:paraId="1BE1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Merge w:val="restart"/>
                  <w:vAlign w:val="center"/>
                </w:tcPr>
                <w:p w14:paraId="3E2E7AD7">
                  <w:pPr>
                    <w:pStyle w:val="51"/>
                    <w:bidi w:val="0"/>
                    <w:rPr>
                      <w:color w:val="auto"/>
                    </w:rPr>
                  </w:pPr>
                  <w:r>
                    <w:rPr>
                      <w:rFonts w:hint="eastAsia"/>
                      <w:color w:val="auto"/>
                      <w:lang w:val="en-US" w:eastAsia="zh-CN"/>
                    </w:rPr>
                    <w:t>生化</w:t>
                  </w:r>
                  <w:r>
                    <w:rPr>
                      <w:color w:val="auto"/>
                    </w:rPr>
                    <w:t>+二沉池</w:t>
                  </w:r>
                </w:p>
              </w:tc>
              <w:tc>
                <w:tcPr>
                  <w:tcW w:w="871" w:type="pct"/>
                  <w:vAlign w:val="center"/>
                </w:tcPr>
                <w:p w14:paraId="7D4BBE80">
                  <w:pPr>
                    <w:pStyle w:val="51"/>
                    <w:bidi w:val="0"/>
                    <w:rPr>
                      <w:color w:val="auto"/>
                    </w:rPr>
                  </w:pPr>
                  <w:r>
                    <w:rPr>
                      <w:color w:val="auto"/>
                    </w:rPr>
                    <w:t>进水</w:t>
                  </w:r>
                  <w:r>
                    <w:rPr>
                      <w:rFonts w:hint="eastAsia"/>
                      <w:color w:val="auto"/>
                    </w:rPr>
                    <w:t>(</w:t>
                  </w:r>
                  <w:r>
                    <w:rPr>
                      <w:color w:val="auto"/>
                    </w:rPr>
                    <w:t>mg/L</w:t>
                  </w:r>
                  <w:r>
                    <w:rPr>
                      <w:rFonts w:hint="eastAsia"/>
                      <w:color w:val="auto"/>
                    </w:rPr>
                    <w:t>)</w:t>
                  </w:r>
                </w:p>
              </w:tc>
              <w:tc>
                <w:tcPr>
                  <w:tcW w:w="444" w:type="pct"/>
                  <w:vAlign w:val="center"/>
                </w:tcPr>
                <w:p w14:paraId="6B88728B">
                  <w:pPr>
                    <w:pStyle w:val="51"/>
                    <w:bidi w:val="0"/>
                    <w:rPr>
                      <w:color w:val="auto"/>
                    </w:rPr>
                  </w:pPr>
                  <w:r>
                    <w:rPr>
                      <w:rFonts w:hint="default"/>
                      <w:color w:val="auto"/>
                      <w:lang w:val="en-US" w:eastAsia="zh-CN"/>
                    </w:rPr>
                    <w:t>6~9</w:t>
                  </w:r>
                </w:p>
              </w:tc>
              <w:tc>
                <w:tcPr>
                  <w:tcW w:w="426" w:type="pct"/>
                  <w:vAlign w:val="center"/>
                </w:tcPr>
                <w:p w14:paraId="66D170DB">
                  <w:pPr>
                    <w:pStyle w:val="51"/>
                    <w:bidi w:val="0"/>
                    <w:rPr>
                      <w:color w:val="auto"/>
                    </w:rPr>
                  </w:pPr>
                  <w:r>
                    <w:rPr>
                      <w:rFonts w:hint="default"/>
                      <w:color w:val="auto"/>
                      <w:lang w:val="en-US" w:eastAsia="zh-CN"/>
                    </w:rPr>
                    <w:t>215</w:t>
                  </w:r>
                </w:p>
              </w:tc>
              <w:tc>
                <w:tcPr>
                  <w:tcW w:w="533" w:type="pct"/>
                  <w:vAlign w:val="center"/>
                </w:tcPr>
                <w:p w14:paraId="0A7F4403">
                  <w:pPr>
                    <w:pStyle w:val="51"/>
                    <w:bidi w:val="0"/>
                    <w:rPr>
                      <w:color w:val="auto"/>
                    </w:rPr>
                  </w:pPr>
                  <w:r>
                    <w:rPr>
                      <w:rFonts w:hint="default"/>
                      <w:color w:val="auto"/>
                      <w:lang w:val="en-US" w:eastAsia="zh-CN"/>
                    </w:rPr>
                    <w:t>50.4</w:t>
                  </w:r>
                </w:p>
              </w:tc>
              <w:tc>
                <w:tcPr>
                  <w:tcW w:w="400" w:type="pct"/>
                  <w:vAlign w:val="center"/>
                </w:tcPr>
                <w:p w14:paraId="570202F1">
                  <w:pPr>
                    <w:pStyle w:val="51"/>
                    <w:bidi w:val="0"/>
                    <w:rPr>
                      <w:color w:val="auto"/>
                    </w:rPr>
                  </w:pPr>
                  <w:r>
                    <w:rPr>
                      <w:rFonts w:hint="default"/>
                      <w:color w:val="auto"/>
                      <w:lang w:val="en-US" w:eastAsia="zh-CN"/>
                    </w:rPr>
                    <w:t>7</w:t>
                  </w:r>
                </w:p>
              </w:tc>
              <w:tc>
                <w:tcPr>
                  <w:tcW w:w="462" w:type="pct"/>
                  <w:vAlign w:val="center"/>
                </w:tcPr>
                <w:p w14:paraId="0F8C4B94">
                  <w:pPr>
                    <w:pStyle w:val="51"/>
                    <w:bidi w:val="0"/>
                    <w:rPr>
                      <w:color w:val="auto"/>
                    </w:rPr>
                  </w:pPr>
                  <w:r>
                    <w:rPr>
                      <w:rFonts w:hint="default"/>
                      <w:color w:val="auto"/>
                      <w:lang w:val="en-US" w:eastAsia="zh-CN"/>
                    </w:rPr>
                    <w:t>14</w:t>
                  </w:r>
                </w:p>
              </w:tc>
              <w:tc>
                <w:tcPr>
                  <w:tcW w:w="373" w:type="pct"/>
                  <w:vAlign w:val="center"/>
                </w:tcPr>
                <w:p w14:paraId="1E7F6D62">
                  <w:pPr>
                    <w:pStyle w:val="51"/>
                    <w:bidi w:val="0"/>
                    <w:rPr>
                      <w:color w:val="auto"/>
                    </w:rPr>
                  </w:pPr>
                  <w:r>
                    <w:rPr>
                      <w:rFonts w:hint="default"/>
                      <w:color w:val="auto"/>
                      <w:lang w:val="en-US" w:eastAsia="zh-CN"/>
                    </w:rPr>
                    <w:t>0.7</w:t>
                  </w:r>
                </w:p>
              </w:tc>
              <w:tc>
                <w:tcPr>
                  <w:tcW w:w="513" w:type="pct"/>
                  <w:vAlign w:val="center"/>
                </w:tcPr>
                <w:p w14:paraId="341C27A9">
                  <w:pPr>
                    <w:pStyle w:val="51"/>
                    <w:bidi w:val="0"/>
                    <w:rPr>
                      <w:color w:val="auto"/>
                    </w:rPr>
                  </w:pPr>
                  <w:r>
                    <w:rPr>
                      <w:rFonts w:hint="default"/>
                      <w:color w:val="auto"/>
                      <w:lang w:val="en-US" w:eastAsia="zh-CN"/>
                    </w:rPr>
                    <w:t>1.12</w:t>
                  </w:r>
                </w:p>
              </w:tc>
              <w:tc>
                <w:tcPr>
                  <w:tcW w:w="438" w:type="pct"/>
                  <w:vAlign w:val="center"/>
                </w:tcPr>
                <w:p w14:paraId="233991A7">
                  <w:pPr>
                    <w:pStyle w:val="51"/>
                    <w:bidi w:val="0"/>
                    <w:rPr>
                      <w:color w:val="auto"/>
                    </w:rPr>
                  </w:pPr>
                  <w:r>
                    <w:rPr>
                      <w:rFonts w:hint="default"/>
                      <w:color w:val="auto"/>
                      <w:lang w:val="en-US" w:eastAsia="zh-CN"/>
                    </w:rPr>
                    <w:t>0.15</w:t>
                  </w:r>
                </w:p>
              </w:tc>
            </w:tr>
            <w:tr w14:paraId="6BE8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Merge w:val="continue"/>
                  <w:vAlign w:val="center"/>
                </w:tcPr>
                <w:p w14:paraId="07CF85B6">
                  <w:pPr>
                    <w:pStyle w:val="51"/>
                    <w:bidi w:val="0"/>
                    <w:rPr>
                      <w:color w:val="auto"/>
                    </w:rPr>
                  </w:pPr>
                </w:p>
              </w:tc>
              <w:tc>
                <w:tcPr>
                  <w:tcW w:w="871" w:type="pct"/>
                  <w:vAlign w:val="center"/>
                </w:tcPr>
                <w:p w14:paraId="33F1EFE6">
                  <w:pPr>
                    <w:pStyle w:val="51"/>
                    <w:bidi w:val="0"/>
                    <w:rPr>
                      <w:color w:val="auto"/>
                    </w:rPr>
                  </w:pPr>
                  <w:r>
                    <w:rPr>
                      <w:color w:val="auto"/>
                    </w:rPr>
                    <w:t>出水</w:t>
                  </w:r>
                  <w:r>
                    <w:rPr>
                      <w:rFonts w:hint="eastAsia"/>
                      <w:color w:val="auto"/>
                    </w:rPr>
                    <w:t>(</w:t>
                  </w:r>
                  <w:r>
                    <w:rPr>
                      <w:color w:val="auto"/>
                    </w:rPr>
                    <w:t>mg/L</w:t>
                  </w:r>
                  <w:r>
                    <w:rPr>
                      <w:rFonts w:hint="eastAsia"/>
                      <w:color w:val="auto"/>
                    </w:rPr>
                    <w:t>)</w:t>
                  </w:r>
                </w:p>
              </w:tc>
              <w:tc>
                <w:tcPr>
                  <w:tcW w:w="444" w:type="pct"/>
                  <w:vAlign w:val="center"/>
                </w:tcPr>
                <w:p w14:paraId="0A4CECDE">
                  <w:pPr>
                    <w:pStyle w:val="51"/>
                    <w:bidi w:val="0"/>
                    <w:rPr>
                      <w:color w:val="auto"/>
                    </w:rPr>
                  </w:pPr>
                  <w:r>
                    <w:rPr>
                      <w:rFonts w:hint="default"/>
                      <w:color w:val="auto"/>
                      <w:lang w:val="en-US" w:eastAsia="zh-CN"/>
                    </w:rPr>
                    <w:t>6~9</w:t>
                  </w:r>
                </w:p>
              </w:tc>
              <w:tc>
                <w:tcPr>
                  <w:tcW w:w="426" w:type="pct"/>
                  <w:vAlign w:val="center"/>
                </w:tcPr>
                <w:p w14:paraId="4FE5FDE2">
                  <w:pPr>
                    <w:pStyle w:val="51"/>
                    <w:bidi w:val="0"/>
                    <w:rPr>
                      <w:color w:val="auto"/>
                    </w:rPr>
                  </w:pPr>
                  <w:r>
                    <w:rPr>
                      <w:rFonts w:hint="default"/>
                      <w:color w:val="auto"/>
                      <w:lang w:val="en-US" w:eastAsia="zh-CN"/>
                    </w:rPr>
                    <w:t>64.5</w:t>
                  </w:r>
                </w:p>
              </w:tc>
              <w:tc>
                <w:tcPr>
                  <w:tcW w:w="533" w:type="pct"/>
                  <w:vAlign w:val="center"/>
                </w:tcPr>
                <w:p w14:paraId="046B61BD">
                  <w:pPr>
                    <w:pStyle w:val="51"/>
                    <w:bidi w:val="0"/>
                    <w:rPr>
                      <w:color w:val="auto"/>
                    </w:rPr>
                  </w:pPr>
                  <w:r>
                    <w:rPr>
                      <w:rFonts w:hint="default"/>
                      <w:color w:val="auto"/>
                      <w:lang w:val="en-US" w:eastAsia="zh-CN"/>
                    </w:rPr>
                    <w:t>35.28</w:t>
                  </w:r>
                </w:p>
              </w:tc>
              <w:tc>
                <w:tcPr>
                  <w:tcW w:w="400" w:type="pct"/>
                  <w:vAlign w:val="center"/>
                </w:tcPr>
                <w:p w14:paraId="482138C3">
                  <w:pPr>
                    <w:pStyle w:val="51"/>
                    <w:bidi w:val="0"/>
                    <w:rPr>
                      <w:color w:val="auto"/>
                    </w:rPr>
                  </w:pPr>
                  <w:r>
                    <w:rPr>
                      <w:rFonts w:hint="default"/>
                      <w:color w:val="auto"/>
                      <w:lang w:val="en-US" w:eastAsia="zh-CN"/>
                    </w:rPr>
                    <w:t>4.9</w:t>
                  </w:r>
                </w:p>
              </w:tc>
              <w:tc>
                <w:tcPr>
                  <w:tcW w:w="462" w:type="pct"/>
                  <w:vAlign w:val="center"/>
                </w:tcPr>
                <w:p w14:paraId="5EAD3647">
                  <w:pPr>
                    <w:pStyle w:val="51"/>
                    <w:bidi w:val="0"/>
                    <w:rPr>
                      <w:color w:val="auto"/>
                    </w:rPr>
                  </w:pPr>
                  <w:r>
                    <w:rPr>
                      <w:rFonts w:hint="default"/>
                      <w:color w:val="auto"/>
                      <w:lang w:val="en-US" w:eastAsia="zh-CN"/>
                    </w:rPr>
                    <w:t xml:space="preserve">10.50 </w:t>
                  </w:r>
                </w:p>
              </w:tc>
              <w:tc>
                <w:tcPr>
                  <w:tcW w:w="373" w:type="pct"/>
                  <w:vAlign w:val="center"/>
                </w:tcPr>
                <w:p w14:paraId="56946FBC">
                  <w:pPr>
                    <w:pStyle w:val="51"/>
                    <w:bidi w:val="0"/>
                    <w:rPr>
                      <w:color w:val="auto"/>
                    </w:rPr>
                  </w:pPr>
                  <w:r>
                    <w:rPr>
                      <w:rFonts w:hint="default"/>
                      <w:color w:val="auto"/>
                      <w:lang w:val="en-US" w:eastAsia="zh-CN"/>
                    </w:rPr>
                    <w:t xml:space="preserve">0.49 </w:t>
                  </w:r>
                </w:p>
              </w:tc>
              <w:tc>
                <w:tcPr>
                  <w:tcW w:w="513" w:type="pct"/>
                  <w:vAlign w:val="center"/>
                </w:tcPr>
                <w:p w14:paraId="60A7D8F9">
                  <w:pPr>
                    <w:pStyle w:val="51"/>
                    <w:bidi w:val="0"/>
                    <w:rPr>
                      <w:color w:val="auto"/>
                    </w:rPr>
                  </w:pPr>
                  <w:r>
                    <w:rPr>
                      <w:rFonts w:hint="default"/>
                      <w:color w:val="auto"/>
                      <w:lang w:val="en-US" w:eastAsia="zh-CN"/>
                    </w:rPr>
                    <w:t>0.84</w:t>
                  </w:r>
                </w:p>
              </w:tc>
              <w:tc>
                <w:tcPr>
                  <w:tcW w:w="438" w:type="pct"/>
                  <w:vAlign w:val="center"/>
                </w:tcPr>
                <w:p w14:paraId="318D70B6">
                  <w:pPr>
                    <w:pStyle w:val="51"/>
                    <w:bidi w:val="0"/>
                    <w:rPr>
                      <w:color w:val="auto"/>
                    </w:rPr>
                  </w:pPr>
                  <w:r>
                    <w:rPr>
                      <w:rFonts w:hint="default"/>
                      <w:color w:val="auto"/>
                      <w:lang w:val="en-US" w:eastAsia="zh-CN"/>
                    </w:rPr>
                    <w:t>0.075</w:t>
                  </w:r>
                </w:p>
              </w:tc>
            </w:tr>
            <w:tr w14:paraId="5489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Merge w:val="continue"/>
                  <w:vAlign w:val="center"/>
                </w:tcPr>
                <w:p w14:paraId="7F6C9FF1">
                  <w:pPr>
                    <w:pStyle w:val="51"/>
                    <w:bidi w:val="0"/>
                    <w:rPr>
                      <w:color w:val="auto"/>
                    </w:rPr>
                  </w:pPr>
                </w:p>
              </w:tc>
              <w:tc>
                <w:tcPr>
                  <w:tcW w:w="871" w:type="pct"/>
                  <w:vAlign w:val="center"/>
                </w:tcPr>
                <w:p w14:paraId="104D7AE5">
                  <w:pPr>
                    <w:pStyle w:val="51"/>
                    <w:bidi w:val="0"/>
                    <w:rPr>
                      <w:color w:val="auto"/>
                    </w:rPr>
                  </w:pPr>
                  <w:r>
                    <w:rPr>
                      <w:color w:val="auto"/>
                    </w:rPr>
                    <w:t>去除率</w:t>
                  </w:r>
                  <w:r>
                    <w:rPr>
                      <w:rFonts w:hint="eastAsia"/>
                      <w:color w:val="auto"/>
                    </w:rPr>
                    <w:t>(</w:t>
                  </w:r>
                  <w:r>
                    <w:rPr>
                      <w:color w:val="auto"/>
                    </w:rPr>
                    <w:t>%</w:t>
                  </w:r>
                  <w:r>
                    <w:rPr>
                      <w:rFonts w:hint="eastAsia"/>
                      <w:color w:val="auto"/>
                    </w:rPr>
                    <w:t>)</w:t>
                  </w:r>
                </w:p>
              </w:tc>
              <w:tc>
                <w:tcPr>
                  <w:tcW w:w="444" w:type="pct"/>
                  <w:vAlign w:val="center"/>
                </w:tcPr>
                <w:p w14:paraId="5C915BCB">
                  <w:pPr>
                    <w:pStyle w:val="51"/>
                    <w:bidi w:val="0"/>
                    <w:rPr>
                      <w:color w:val="auto"/>
                    </w:rPr>
                  </w:pPr>
                  <w:r>
                    <w:rPr>
                      <w:rFonts w:hint="default"/>
                      <w:color w:val="auto"/>
                      <w:lang w:val="en-US" w:eastAsia="zh-CN"/>
                    </w:rPr>
                    <w:t>/</w:t>
                  </w:r>
                </w:p>
              </w:tc>
              <w:tc>
                <w:tcPr>
                  <w:tcW w:w="426" w:type="pct"/>
                  <w:vAlign w:val="center"/>
                </w:tcPr>
                <w:p w14:paraId="1D1F1069">
                  <w:pPr>
                    <w:pStyle w:val="51"/>
                    <w:bidi w:val="0"/>
                    <w:rPr>
                      <w:color w:val="auto"/>
                    </w:rPr>
                  </w:pPr>
                  <w:r>
                    <w:rPr>
                      <w:rFonts w:hint="default"/>
                      <w:color w:val="auto"/>
                      <w:lang w:val="en-US" w:eastAsia="zh-CN"/>
                    </w:rPr>
                    <w:t>70</w:t>
                  </w:r>
                </w:p>
              </w:tc>
              <w:tc>
                <w:tcPr>
                  <w:tcW w:w="533" w:type="pct"/>
                  <w:vAlign w:val="center"/>
                </w:tcPr>
                <w:p w14:paraId="0762D343">
                  <w:pPr>
                    <w:pStyle w:val="51"/>
                    <w:bidi w:val="0"/>
                    <w:rPr>
                      <w:color w:val="auto"/>
                    </w:rPr>
                  </w:pPr>
                  <w:r>
                    <w:rPr>
                      <w:rFonts w:hint="default"/>
                      <w:color w:val="auto"/>
                      <w:lang w:val="en-US" w:eastAsia="zh-CN"/>
                    </w:rPr>
                    <w:t>30</w:t>
                  </w:r>
                </w:p>
              </w:tc>
              <w:tc>
                <w:tcPr>
                  <w:tcW w:w="400" w:type="pct"/>
                  <w:vAlign w:val="center"/>
                </w:tcPr>
                <w:p w14:paraId="72EEEACA">
                  <w:pPr>
                    <w:pStyle w:val="51"/>
                    <w:bidi w:val="0"/>
                    <w:rPr>
                      <w:color w:val="auto"/>
                    </w:rPr>
                  </w:pPr>
                  <w:r>
                    <w:rPr>
                      <w:rFonts w:hint="default"/>
                      <w:color w:val="auto"/>
                      <w:lang w:val="en-US" w:eastAsia="zh-CN"/>
                    </w:rPr>
                    <w:t>30</w:t>
                  </w:r>
                </w:p>
              </w:tc>
              <w:tc>
                <w:tcPr>
                  <w:tcW w:w="462" w:type="pct"/>
                  <w:vAlign w:val="center"/>
                </w:tcPr>
                <w:p w14:paraId="0EAAA911">
                  <w:pPr>
                    <w:pStyle w:val="51"/>
                    <w:bidi w:val="0"/>
                    <w:rPr>
                      <w:color w:val="auto"/>
                    </w:rPr>
                  </w:pPr>
                  <w:r>
                    <w:rPr>
                      <w:rFonts w:hint="default"/>
                      <w:color w:val="auto"/>
                      <w:lang w:val="en-US" w:eastAsia="zh-CN"/>
                    </w:rPr>
                    <w:t>25</w:t>
                  </w:r>
                </w:p>
              </w:tc>
              <w:tc>
                <w:tcPr>
                  <w:tcW w:w="373" w:type="pct"/>
                  <w:vAlign w:val="center"/>
                </w:tcPr>
                <w:p w14:paraId="694A26D2">
                  <w:pPr>
                    <w:pStyle w:val="51"/>
                    <w:bidi w:val="0"/>
                    <w:rPr>
                      <w:color w:val="auto"/>
                    </w:rPr>
                  </w:pPr>
                  <w:r>
                    <w:rPr>
                      <w:rFonts w:hint="default"/>
                      <w:color w:val="auto"/>
                      <w:lang w:val="en-US" w:eastAsia="zh-CN"/>
                    </w:rPr>
                    <w:t>30</w:t>
                  </w:r>
                </w:p>
              </w:tc>
              <w:tc>
                <w:tcPr>
                  <w:tcW w:w="513" w:type="pct"/>
                  <w:vAlign w:val="center"/>
                </w:tcPr>
                <w:p w14:paraId="706D8C73">
                  <w:pPr>
                    <w:pStyle w:val="51"/>
                    <w:bidi w:val="0"/>
                    <w:rPr>
                      <w:color w:val="auto"/>
                    </w:rPr>
                  </w:pPr>
                  <w:r>
                    <w:rPr>
                      <w:rFonts w:hint="default"/>
                      <w:color w:val="auto"/>
                      <w:lang w:val="en-US" w:eastAsia="zh-CN"/>
                    </w:rPr>
                    <w:t>25</w:t>
                  </w:r>
                </w:p>
              </w:tc>
              <w:tc>
                <w:tcPr>
                  <w:tcW w:w="438" w:type="pct"/>
                  <w:vAlign w:val="center"/>
                </w:tcPr>
                <w:p w14:paraId="791AA9D5">
                  <w:pPr>
                    <w:pStyle w:val="51"/>
                    <w:bidi w:val="0"/>
                    <w:rPr>
                      <w:color w:val="auto"/>
                    </w:rPr>
                  </w:pPr>
                  <w:r>
                    <w:rPr>
                      <w:rFonts w:hint="default"/>
                      <w:color w:val="auto"/>
                      <w:lang w:val="en-US" w:eastAsia="zh-CN"/>
                    </w:rPr>
                    <w:t>50</w:t>
                  </w:r>
                </w:p>
              </w:tc>
            </w:tr>
            <w:tr w14:paraId="4066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Merge w:val="restart"/>
                  <w:vAlign w:val="center"/>
                </w:tcPr>
                <w:p w14:paraId="7B9D30B0">
                  <w:pPr>
                    <w:pStyle w:val="51"/>
                    <w:bidi w:val="0"/>
                    <w:rPr>
                      <w:color w:val="auto"/>
                    </w:rPr>
                  </w:pPr>
                  <w:r>
                    <w:rPr>
                      <w:color w:val="auto"/>
                    </w:rPr>
                    <w:t>砂滤+碳滤</w:t>
                  </w:r>
                </w:p>
              </w:tc>
              <w:tc>
                <w:tcPr>
                  <w:tcW w:w="871" w:type="pct"/>
                  <w:vAlign w:val="center"/>
                </w:tcPr>
                <w:p w14:paraId="5FC4B23B">
                  <w:pPr>
                    <w:pStyle w:val="51"/>
                    <w:bidi w:val="0"/>
                    <w:rPr>
                      <w:color w:val="auto"/>
                    </w:rPr>
                  </w:pPr>
                  <w:r>
                    <w:rPr>
                      <w:color w:val="auto"/>
                    </w:rPr>
                    <w:t>进水</w:t>
                  </w:r>
                  <w:r>
                    <w:rPr>
                      <w:rFonts w:hint="eastAsia"/>
                      <w:color w:val="auto"/>
                    </w:rPr>
                    <w:t>(</w:t>
                  </w:r>
                  <w:r>
                    <w:rPr>
                      <w:color w:val="auto"/>
                    </w:rPr>
                    <w:t>mg/L</w:t>
                  </w:r>
                  <w:r>
                    <w:rPr>
                      <w:rFonts w:hint="eastAsia"/>
                      <w:color w:val="auto"/>
                    </w:rPr>
                    <w:t>)</w:t>
                  </w:r>
                </w:p>
              </w:tc>
              <w:tc>
                <w:tcPr>
                  <w:tcW w:w="444" w:type="pct"/>
                  <w:vAlign w:val="center"/>
                </w:tcPr>
                <w:p w14:paraId="69F55DC0">
                  <w:pPr>
                    <w:pStyle w:val="51"/>
                    <w:bidi w:val="0"/>
                    <w:rPr>
                      <w:color w:val="auto"/>
                    </w:rPr>
                  </w:pPr>
                  <w:r>
                    <w:rPr>
                      <w:rFonts w:hint="default"/>
                      <w:color w:val="auto"/>
                      <w:lang w:val="en-US" w:eastAsia="zh-CN"/>
                    </w:rPr>
                    <w:t>6~9</w:t>
                  </w:r>
                </w:p>
              </w:tc>
              <w:tc>
                <w:tcPr>
                  <w:tcW w:w="426" w:type="pct"/>
                  <w:vAlign w:val="center"/>
                </w:tcPr>
                <w:p w14:paraId="47FD592B">
                  <w:pPr>
                    <w:pStyle w:val="51"/>
                    <w:bidi w:val="0"/>
                    <w:rPr>
                      <w:color w:val="auto"/>
                    </w:rPr>
                  </w:pPr>
                  <w:r>
                    <w:rPr>
                      <w:rFonts w:hint="default"/>
                      <w:color w:val="auto"/>
                      <w:lang w:val="en-US" w:eastAsia="zh-CN"/>
                    </w:rPr>
                    <w:t>64.5</w:t>
                  </w:r>
                </w:p>
              </w:tc>
              <w:tc>
                <w:tcPr>
                  <w:tcW w:w="533" w:type="pct"/>
                  <w:vAlign w:val="center"/>
                </w:tcPr>
                <w:p w14:paraId="2E34357E">
                  <w:pPr>
                    <w:pStyle w:val="51"/>
                    <w:bidi w:val="0"/>
                    <w:rPr>
                      <w:color w:val="auto"/>
                    </w:rPr>
                  </w:pPr>
                  <w:r>
                    <w:rPr>
                      <w:rFonts w:hint="default"/>
                      <w:color w:val="auto"/>
                      <w:lang w:val="en-US" w:eastAsia="zh-CN"/>
                    </w:rPr>
                    <w:t>35.28</w:t>
                  </w:r>
                </w:p>
              </w:tc>
              <w:tc>
                <w:tcPr>
                  <w:tcW w:w="400" w:type="pct"/>
                  <w:vAlign w:val="center"/>
                </w:tcPr>
                <w:p w14:paraId="573CD524">
                  <w:pPr>
                    <w:pStyle w:val="51"/>
                    <w:bidi w:val="0"/>
                    <w:rPr>
                      <w:color w:val="auto"/>
                    </w:rPr>
                  </w:pPr>
                  <w:r>
                    <w:rPr>
                      <w:rFonts w:hint="default"/>
                      <w:color w:val="auto"/>
                      <w:lang w:val="en-US" w:eastAsia="zh-CN"/>
                    </w:rPr>
                    <w:t>4.9</w:t>
                  </w:r>
                </w:p>
              </w:tc>
              <w:tc>
                <w:tcPr>
                  <w:tcW w:w="462" w:type="pct"/>
                  <w:vAlign w:val="center"/>
                </w:tcPr>
                <w:p w14:paraId="33F2F685">
                  <w:pPr>
                    <w:pStyle w:val="51"/>
                    <w:bidi w:val="0"/>
                    <w:rPr>
                      <w:color w:val="auto"/>
                    </w:rPr>
                  </w:pPr>
                  <w:r>
                    <w:rPr>
                      <w:rFonts w:hint="default"/>
                      <w:color w:val="auto"/>
                      <w:lang w:val="en-US" w:eastAsia="zh-CN"/>
                    </w:rPr>
                    <w:t xml:space="preserve">10.50 </w:t>
                  </w:r>
                </w:p>
              </w:tc>
              <w:tc>
                <w:tcPr>
                  <w:tcW w:w="373" w:type="pct"/>
                  <w:vAlign w:val="center"/>
                </w:tcPr>
                <w:p w14:paraId="0B5299A8">
                  <w:pPr>
                    <w:pStyle w:val="51"/>
                    <w:bidi w:val="0"/>
                    <w:rPr>
                      <w:color w:val="auto"/>
                    </w:rPr>
                  </w:pPr>
                  <w:r>
                    <w:rPr>
                      <w:rFonts w:hint="default"/>
                      <w:color w:val="auto"/>
                      <w:lang w:val="en-US" w:eastAsia="zh-CN"/>
                    </w:rPr>
                    <w:t xml:space="preserve">0.49 </w:t>
                  </w:r>
                </w:p>
              </w:tc>
              <w:tc>
                <w:tcPr>
                  <w:tcW w:w="513" w:type="pct"/>
                  <w:vAlign w:val="center"/>
                </w:tcPr>
                <w:p w14:paraId="013CEF8F">
                  <w:pPr>
                    <w:pStyle w:val="51"/>
                    <w:bidi w:val="0"/>
                    <w:rPr>
                      <w:color w:val="auto"/>
                    </w:rPr>
                  </w:pPr>
                  <w:r>
                    <w:rPr>
                      <w:rFonts w:hint="default"/>
                      <w:color w:val="auto"/>
                      <w:lang w:val="en-US" w:eastAsia="zh-CN"/>
                    </w:rPr>
                    <w:t>0.84</w:t>
                  </w:r>
                </w:p>
              </w:tc>
              <w:tc>
                <w:tcPr>
                  <w:tcW w:w="438" w:type="pct"/>
                  <w:vAlign w:val="center"/>
                </w:tcPr>
                <w:p w14:paraId="04F2D7ED">
                  <w:pPr>
                    <w:pStyle w:val="51"/>
                    <w:bidi w:val="0"/>
                    <w:rPr>
                      <w:color w:val="auto"/>
                    </w:rPr>
                  </w:pPr>
                  <w:r>
                    <w:rPr>
                      <w:rFonts w:hint="default"/>
                      <w:color w:val="auto"/>
                      <w:lang w:val="en-US" w:eastAsia="zh-CN"/>
                    </w:rPr>
                    <w:t xml:space="preserve">0.08 </w:t>
                  </w:r>
                </w:p>
              </w:tc>
            </w:tr>
            <w:tr w14:paraId="4EF2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Merge w:val="continue"/>
                  <w:vAlign w:val="center"/>
                </w:tcPr>
                <w:p w14:paraId="4C6C1784">
                  <w:pPr>
                    <w:pStyle w:val="51"/>
                    <w:bidi w:val="0"/>
                    <w:rPr>
                      <w:color w:val="auto"/>
                    </w:rPr>
                  </w:pPr>
                </w:p>
              </w:tc>
              <w:tc>
                <w:tcPr>
                  <w:tcW w:w="871" w:type="pct"/>
                  <w:vAlign w:val="center"/>
                </w:tcPr>
                <w:p w14:paraId="3E6C4A13">
                  <w:pPr>
                    <w:pStyle w:val="51"/>
                    <w:bidi w:val="0"/>
                    <w:rPr>
                      <w:color w:val="auto"/>
                    </w:rPr>
                  </w:pPr>
                  <w:r>
                    <w:rPr>
                      <w:color w:val="auto"/>
                    </w:rPr>
                    <w:t>出水</w:t>
                  </w:r>
                  <w:r>
                    <w:rPr>
                      <w:rFonts w:hint="eastAsia"/>
                      <w:color w:val="auto"/>
                    </w:rPr>
                    <w:t>(</w:t>
                  </w:r>
                  <w:r>
                    <w:rPr>
                      <w:color w:val="auto"/>
                    </w:rPr>
                    <w:t>mg/L</w:t>
                  </w:r>
                  <w:r>
                    <w:rPr>
                      <w:rFonts w:hint="eastAsia"/>
                      <w:color w:val="auto"/>
                    </w:rPr>
                    <w:t>)</w:t>
                  </w:r>
                </w:p>
              </w:tc>
              <w:tc>
                <w:tcPr>
                  <w:tcW w:w="444" w:type="pct"/>
                  <w:vAlign w:val="center"/>
                </w:tcPr>
                <w:p w14:paraId="4BC2BFBF">
                  <w:pPr>
                    <w:pStyle w:val="51"/>
                    <w:bidi w:val="0"/>
                    <w:rPr>
                      <w:color w:val="auto"/>
                    </w:rPr>
                  </w:pPr>
                  <w:r>
                    <w:rPr>
                      <w:rFonts w:hint="default"/>
                      <w:color w:val="auto"/>
                      <w:lang w:val="en-US" w:eastAsia="zh-CN"/>
                    </w:rPr>
                    <w:t>6~9</w:t>
                  </w:r>
                </w:p>
              </w:tc>
              <w:tc>
                <w:tcPr>
                  <w:tcW w:w="426" w:type="pct"/>
                  <w:vAlign w:val="center"/>
                </w:tcPr>
                <w:p w14:paraId="3FA92DA1">
                  <w:pPr>
                    <w:pStyle w:val="51"/>
                    <w:bidi w:val="0"/>
                    <w:rPr>
                      <w:color w:val="auto"/>
                    </w:rPr>
                  </w:pPr>
                  <w:r>
                    <w:rPr>
                      <w:rFonts w:hint="default"/>
                      <w:color w:val="auto"/>
                      <w:lang w:val="en-US" w:eastAsia="zh-CN"/>
                    </w:rPr>
                    <w:t>45.15</w:t>
                  </w:r>
                </w:p>
              </w:tc>
              <w:tc>
                <w:tcPr>
                  <w:tcW w:w="533" w:type="pct"/>
                  <w:vAlign w:val="center"/>
                </w:tcPr>
                <w:p w14:paraId="0FC40A42">
                  <w:pPr>
                    <w:pStyle w:val="51"/>
                    <w:bidi w:val="0"/>
                    <w:rPr>
                      <w:color w:val="auto"/>
                    </w:rPr>
                  </w:pPr>
                  <w:r>
                    <w:rPr>
                      <w:rFonts w:hint="default"/>
                      <w:color w:val="auto"/>
                      <w:lang w:val="en-US" w:eastAsia="zh-CN"/>
                    </w:rPr>
                    <w:t>31.75</w:t>
                  </w:r>
                </w:p>
              </w:tc>
              <w:tc>
                <w:tcPr>
                  <w:tcW w:w="400" w:type="pct"/>
                  <w:vAlign w:val="center"/>
                </w:tcPr>
                <w:p w14:paraId="16EDA96D">
                  <w:pPr>
                    <w:pStyle w:val="51"/>
                    <w:bidi w:val="0"/>
                    <w:rPr>
                      <w:color w:val="auto"/>
                    </w:rPr>
                  </w:pPr>
                  <w:r>
                    <w:rPr>
                      <w:rFonts w:hint="default"/>
                      <w:color w:val="auto"/>
                      <w:lang w:val="en-US" w:eastAsia="zh-CN"/>
                    </w:rPr>
                    <w:t>4.9</w:t>
                  </w:r>
                </w:p>
              </w:tc>
              <w:tc>
                <w:tcPr>
                  <w:tcW w:w="462" w:type="pct"/>
                  <w:vAlign w:val="center"/>
                </w:tcPr>
                <w:p w14:paraId="5A33439B">
                  <w:pPr>
                    <w:pStyle w:val="51"/>
                    <w:bidi w:val="0"/>
                    <w:rPr>
                      <w:color w:val="auto"/>
                    </w:rPr>
                  </w:pPr>
                  <w:r>
                    <w:rPr>
                      <w:rFonts w:hint="default"/>
                      <w:color w:val="auto"/>
                      <w:lang w:val="en-US" w:eastAsia="zh-CN"/>
                    </w:rPr>
                    <w:t xml:space="preserve">10.50 </w:t>
                  </w:r>
                </w:p>
              </w:tc>
              <w:tc>
                <w:tcPr>
                  <w:tcW w:w="373" w:type="pct"/>
                  <w:vAlign w:val="center"/>
                </w:tcPr>
                <w:p w14:paraId="57E852F4">
                  <w:pPr>
                    <w:pStyle w:val="51"/>
                    <w:bidi w:val="0"/>
                    <w:rPr>
                      <w:color w:val="auto"/>
                    </w:rPr>
                  </w:pPr>
                  <w:r>
                    <w:rPr>
                      <w:rFonts w:hint="default"/>
                      <w:color w:val="auto"/>
                      <w:lang w:val="en-US" w:eastAsia="zh-CN"/>
                    </w:rPr>
                    <w:t xml:space="preserve">0.49 </w:t>
                  </w:r>
                </w:p>
              </w:tc>
              <w:tc>
                <w:tcPr>
                  <w:tcW w:w="513" w:type="pct"/>
                  <w:vAlign w:val="center"/>
                </w:tcPr>
                <w:p w14:paraId="5B5CB88E">
                  <w:pPr>
                    <w:pStyle w:val="51"/>
                    <w:bidi w:val="0"/>
                    <w:rPr>
                      <w:color w:val="auto"/>
                    </w:rPr>
                  </w:pPr>
                  <w:r>
                    <w:rPr>
                      <w:rFonts w:hint="default"/>
                      <w:color w:val="auto"/>
                      <w:lang w:val="en-US" w:eastAsia="zh-CN"/>
                    </w:rPr>
                    <w:t>0.84</w:t>
                  </w:r>
                </w:p>
              </w:tc>
              <w:tc>
                <w:tcPr>
                  <w:tcW w:w="438" w:type="pct"/>
                  <w:vAlign w:val="center"/>
                </w:tcPr>
                <w:p w14:paraId="44AF972F">
                  <w:pPr>
                    <w:pStyle w:val="51"/>
                    <w:bidi w:val="0"/>
                    <w:rPr>
                      <w:color w:val="auto"/>
                    </w:rPr>
                  </w:pPr>
                  <w:r>
                    <w:rPr>
                      <w:rFonts w:hint="default"/>
                      <w:color w:val="auto"/>
                      <w:lang w:val="en-US" w:eastAsia="zh-CN"/>
                    </w:rPr>
                    <w:t xml:space="preserve">0.08 </w:t>
                  </w:r>
                </w:p>
              </w:tc>
            </w:tr>
            <w:tr w14:paraId="27BA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Merge w:val="continue"/>
                  <w:vAlign w:val="center"/>
                </w:tcPr>
                <w:p w14:paraId="680D0CDA">
                  <w:pPr>
                    <w:pStyle w:val="51"/>
                    <w:bidi w:val="0"/>
                    <w:rPr>
                      <w:color w:val="auto"/>
                    </w:rPr>
                  </w:pPr>
                </w:p>
              </w:tc>
              <w:tc>
                <w:tcPr>
                  <w:tcW w:w="871" w:type="pct"/>
                  <w:vAlign w:val="center"/>
                </w:tcPr>
                <w:p w14:paraId="34B87713">
                  <w:pPr>
                    <w:pStyle w:val="51"/>
                    <w:bidi w:val="0"/>
                    <w:rPr>
                      <w:color w:val="auto"/>
                    </w:rPr>
                  </w:pPr>
                  <w:r>
                    <w:rPr>
                      <w:color w:val="auto"/>
                    </w:rPr>
                    <w:t>去除率</w:t>
                  </w:r>
                  <w:r>
                    <w:rPr>
                      <w:rFonts w:hint="eastAsia"/>
                      <w:color w:val="auto"/>
                    </w:rPr>
                    <w:t>(</w:t>
                  </w:r>
                  <w:r>
                    <w:rPr>
                      <w:color w:val="auto"/>
                    </w:rPr>
                    <w:t>%</w:t>
                  </w:r>
                  <w:r>
                    <w:rPr>
                      <w:rFonts w:hint="eastAsia"/>
                      <w:color w:val="auto"/>
                    </w:rPr>
                    <w:t>)</w:t>
                  </w:r>
                </w:p>
              </w:tc>
              <w:tc>
                <w:tcPr>
                  <w:tcW w:w="444" w:type="pct"/>
                  <w:vAlign w:val="center"/>
                </w:tcPr>
                <w:p w14:paraId="1F42BECB">
                  <w:pPr>
                    <w:pStyle w:val="51"/>
                    <w:bidi w:val="0"/>
                    <w:rPr>
                      <w:color w:val="auto"/>
                    </w:rPr>
                  </w:pPr>
                  <w:r>
                    <w:rPr>
                      <w:rFonts w:hint="default"/>
                      <w:color w:val="auto"/>
                      <w:lang w:val="en-US" w:eastAsia="zh-CN"/>
                    </w:rPr>
                    <w:t>/</w:t>
                  </w:r>
                </w:p>
              </w:tc>
              <w:tc>
                <w:tcPr>
                  <w:tcW w:w="426" w:type="pct"/>
                  <w:vAlign w:val="center"/>
                </w:tcPr>
                <w:p w14:paraId="50322AB8">
                  <w:pPr>
                    <w:pStyle w:val="51"/>
                    <w:bidi w:val="0"/>
                    <w:rPr>
                      <w:color w:val="auto"/>
                    </w:rPr>
                  </w:pPr>
                  <w:r>
                    <w:rPr>
                      <w:rFonts w:hint="default"/>
                      <w:color w:val="auto"/>
                      <w:lang w:val="en-US" w:eastAsia="zh-CN"/>
                    </w:rPr>
                    <w:t>30</w:t>
                  </w:r>
                </w:p>
              </w:tc>
              <w:tc>
                <w:tcPr>
                  <w:tcW w:w="533" w:type="pct"/>
                  <w:vAlign w:val="center"/>
                </w:tcPr>
                <w:p w14:paraId="1C32C571">
                  <w:pPr>
                    <w:pStyle w:val="51"/>
                    <w:bidi w:val="0"/>
                    <w:rPr>
                      <w:color w:val="auto"/>
                    </w:rPr>
                  </w:pPr>
                  <w:r>
                    <w:rPr>
                      <w:rFonts w:hint="default"/>
                      <w:color w:val="auto"/>
                      <w:lang w:val="en-US" w:eastAsia="zh-CN"/>
                    </w:rPr>
                    <w:t>10</w:t>
                  </w:r>
                </w:p>
              </w:tc>
              <w:tc>
                <w:tcPr>
                  <w:tcW w:w="400" w:type="pct"/>
                  <w:vAlign w:val="center"/>
                </w:tcPr>
                <w:p w14:paraId="7C17BF32">
                  <w:pPr>
                    <w:pStyle w:val="51"/>
                    <w:bidi w:val="0"/>
                    <w:rPr>
                      <w:color w:val="auto"/>
                    </w:rPr>
                  </w:pPr>
                  <w:r>
                    <w:rPr>
                      <w:rFonts w:hint="default"/>
                      <w:color w:val="auto"/>
                      <w:lang w:val="en-US" w:eastAsia="zh-CN"/>
                    </w:rPr>
                    <w:t>0</w:t>
                  </w:r>
                </w:p>
              </w:tc>
              <w:tc>
                <w:tcPr>
                  <w:tcW w:w="462" w:type="pct"/>
                  <w:vAlign w:val="center"/>
                </w:tcPr>
                <w:p w14:paraId="682EC25F">
                  <w:pPr>
                    <w:pStyle w:val="51"/>
                    <w:bidi w:val="0"/>
                    <w:rPr>
                      <w:color w:val="auto"/>
                    </w:rPr>
                  </w:pPr>
                  <w:r>
                    <w:rPr>
                      <w:rFonts w:hint="default"/>
                      <w:color w:val="auto"/>
                      <w:lang w:val="en-US" w:eastAsia="zh-CN"/>
                    </w:rPr>
                    <w:t>0</w:t>
                  </w:r>
                </w:p>
              </w:tc>
              <w:tc>
                <w:tcPr>
                  <w:tcW w:w="373" w:type="pct"/>
                  <w:vAlign w:val="center"/>
                </w:tcPr>
                <w:p w14:paraId="16E67D00">
                  <w:pPr>
                    <w:pStyle w:val="51"/>
                    <w:bidi w:val="0"/>
                    <w:rPr>
                      <w:color w:val="auto"/>
                    </w:rPr>
                  </w:pPr>
                  <w:r>
                    <w:rPr>
                      <w:rFonts w:hint="default"/>
                      <w:color w:val="auto"/>
                      <w:lang w:val="en-US" w:eastAsia="zh-CN"/>
                    </w:rPr>
                    <w:t>0</w:t>
                  </w:r>
                </w:p>
              </w:tc>
              <w:tc>
                <w:tcPr>
                  <w:tcW w:w="513" w:type="pct"/>
                  <w:vAlign w:val="center"/>
                </w:tcPr>
                <w:p w14:paraId="038A972D">
                  <w:pPr>
                    <w:pStyle w:val="51"/>
                    <w:bidi w:val="0"/>
                    <w:rPr>
                      <w:color w:val="auto"/>
                    </w:rPr>
                  </w:pPr>
                  <w:r>
                    <w:rPr>
                      <w:rFonts w:hint="default"/>
                      <w:color w:val="auto"/>
                      <w:lang w:val="en-US" w:eastAsia="zh-CN"/>
                    </w:rPr>
                    <w:t>0</w:t>
                  </w:r>
                </w:p>
              </w:tc>
              <w:tc>
                <w:tcPr>
                  <w:tcW w:w="438" w:type="pct"/>
                  <w:vAlign w:val="center"/>
                </w:tcPr>
                <w:p w14:paraId="52BCA2F1">
                  <w:pPr>
                    <w:pStyle w:val="51"/>
                    <w:bidi w:val="0"/>
                    <w:rPr>
                      <w:color w:val="auto"/>
                    </w:rPr>
                  </w:pPr>
                  <w:r>
                    <w:rPr>
                      <w:rFonts w:hint="default"/>
                      <w:color w:val="auto"/>
                      <w:lang w:val="en-US" w:eastAsia="zh-CN"/>
                    </w:rPr>
                    <w:t>0</w:t>
                  </w:r>
                </w:p>
              </w:tc>
            </w:tr>
            <w:tr w14:paraId="4BA6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6" w:type="pct"/>
                  <w:gridSpan w:val="2"/>
                  <w:vAlign w:val="center"/>
                </w:tcPr>
                <w:p w14:paraId="5FD553BB">
                  <w:pPr>
                    <w:pStyle w:val="51"/>
                    <w:bidi w:val="0"/>
                    <w:rPr>
                      <w:color w:val="auto"/>
                    </w:rPr>
                  </w:pPr>
                  <w:r>
                    <w:rPr>
                      <w:color w:val="auto"/>
                    </w:rPr>
                    <w:t>总体去除效率%</w:t>
                  </w:r>
                </w:p>
              </w:tc>
              <w:tc>
                <w:tcPr>
                  <w:tcW w:w="444" w:type="pct"/>
                  <w:vAlign w:val="center"/>
                </w:tcPr>
                <w:p w14:paraId="020C1558">
                  <w:pPr>
                    <w:pStyle w:val="51"/>
                    <w:bidi w:val="0"/>
                    <w:rPr>
                      <w:color w:val="auto"/>
                    </w:rPr>
                  </w:pPr>
                  <w:r>
                    <w:rPr>
                      <w:rFonts w:hint="default"/>
                      <w:color w:val="auto"/>
                      <w:lang w:val="en-US" w:eastAsia="zh-CN"/>
                    </w:rPr>
                    <w:t>/</w:t>
                  </w:r>
                </w:p>
              </w:tc>
              <w:tc>
                <w:tcPr>
                  <w:tcW w:w="426" w:type="pct"/>
                  <w:vAlign w:val="center"/>
                </w:tcPr>
                <w:p w14:paraId="03C0A1F4">
                  <w:pPr>
                    <w:pStyle w:val="51"/>
                    <w:bidi w:val="0"/>
                    <w:rPr>
                      <w:rFonts w:hint="default"/>
                      <w:color w:val="auto"/>
                      <w:lang w:val="en-US"/>
                    </w:rPr>
                  </w:pPr>
                  <w:r>
                    <w:rPr>
                      <w:rFonts w:hint="eastAsia"/>
                      <w:color w:val="auto"/>
                      <w:lang w:val="en-US" w:eastAsia="zh-CN"/>
                    </w:rPr>
                    <w:t>90</w:t>
                  </w:r>
                </w:p>
              </w:tc>
              <w:tc>
                <w:tcPr>
                  <w:tcW w:w="533" w:type="pct"/>
                  <w:vAlign w:val="center"/>
                </w:tcPr>
                <w:p w14:paraId="74DDDC9B">
                  <w:pPr>
                    <w:pStyle w:val="51"/>
                    <w:bidi w:val="0"/>
                    <w:rPr>
                      <w:color w:val="auto"/>
                    </w:rPr>
                  </w:pPr>
                  <w:r>
                    <w:rPr>
                      <w:rFonts w:hint="default"/>
                      <w:color w:val="auto"/>
                      <w:lang w:val="en-US" w:eastAsia="zh-CN"/>
                    </w:rPr>
                    <w:t>60</w:t>
                  </w:r>
                </w:p>
              </w:tc>
              <w:tc>
                <w:tcPr>
                  <w:tcW w:w="400" w:type="pct"/>
                  <w:vAlign w:val="center"/>
                </w:tcPr>
                <w:p w14:paraId="75F6A8B5">
                  <w:pPr>
                    <w:pStyle w:val="51"/>
                    <w:bidi w:val="0"/>
                    <w:rPr>
                      <w:color w:val="auto"/>
                    </w:rPr>
                  </w:pPr>
                  <w:r>
                    <w:rPr>
                      <w:rFonts w:hint="default"/>
                      <w:color w:val="auto"/>
                      <w:lang w:val="en-US" w:eastAsia="zh-CN"/>
                    </w:rPr>
                    <w:t>51</w:t>
                  </w:r>
                </w:p>
              </w:tc>
              <w:tc>
                <w:tcPr>
                  <w:tcW w:w="462" w:type="pct"/>
                  <w:vAlign w:val="center"/>
                </w:tcPr>
                <w:p w14:paraId="55444705">
                  <w:pPr>
                    <w:pStyle w:val="51"/>
                    <w:bidi w:val="0"/>
                    <w:rPr>
                      <w:rFonts w:hint="default"/>
                      <w:color w:val="auto"/>
                      <w:lang w:val="en-US"/>
                    </w:rPr>
                  </w:pPr>
                  <w:r>
                    <w:rPr>
                      <w:rFonts w:hint="eastAsia"/>
                      <w:color w:val="auto"/>
                      <w:lang w:val="en-US" w:eastAsia="zh-CN"/>
                    </w:rPr>
                    <w:t>48</w:t>
                  </w:r>
                </w:p>
              </w:tc>
              <w:tc>
                <w:tcPr>
                  <w:tcW w:w="373" w:type="pct"/>
                  <w:vAlign w:val="center"/>
                </w:tcPr>
                <w:p w14:paraId="128B4E9E">
                  <w:pPr>
                    <w:pStyle w:val="51"/>
                    <w:bidi w:val="0"/>
                    <w:rPr>
                      <w:color w:val="auto"/>
                    </w:rPr>
                  </w:pPr>
                  <w:r>
                    <w:rPr>
                      <w:rFonts w:hint="default"/>
                      <w:color w:val="auto"/>
                      <w:lang w:val="en-US" w:eastAsia="zh-CN"/>
                    </w:rPr>
                    <w:t>51</w:t>
                  </w:r>
                </w:p>
              </w:tc>
              <w:tc>
                <w:tcPr>
                  <w:tcW w:w="513" w:type="pct"/>
                  <w:vAlign w:val="center"/>
                </w:tcPr>
                <w:p w14:paraId="592B6B95">
                  <w:pPr>
                    <w:pStyle w:val="51"/>
                    <w:bidi w:val="0"/>
                    <w:rPr>
                      <w:color w:val="auto"/>
                    </w:rPr>
                  </w:pPr>
                  <w:r>
                    <w:rPr>
                      <w:rFonts w:hint="default"/>
                      <w:color w:val="auto"/>
                      <w:lang w:val="en-US" w:eastAsia="zh-CN"/>
                    </w:rPr>
                    <w:t>79</w:t>
                  </w:r>
                </w:p>
              </w:tc>
              <w:tc>
                <w:tcPr>
                  <w:tcW w:w="438" w:type="pct"/>
                  <w:vAlign w:val="center"/>
                </w:tcPr>
                <w:p w14:paraId="07A869CB">
                  <w:pPr>
                    <w:pStyle w:val="51"/>
                    <w:bidi w:val="0"/>
                    <w:rPr>
                      <w:color w:val="auto"/>
                    </w:rPr>
                  </w:pPr>
                  <w:r>
                    <w:rPr>
                      <w:rFonts w:hint="default"/>
                      <w:color w:val="auto"/>
                      <w:lang w:val="en-US" w:eastAsia="zh-CN"/>
                    </w:rPr>
                    <w:t>50</w:t>
                  </w:r>
                </w:p>
              </w:tc>
            </w:tr>
            <w:tr w14:paraId="5319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406" w:type="pct"/>
                  <w:gridSpan w:val="2"/>
                  <w:vAlign w:val="center"/>
                </w:tcPr>
                <w:p w14:paraId="134F208F">
                  <w:pPr>
                    <w:pStyle w:val="51"/>
                    <w:bidi w:val="0"/>
                    <w:rPr>
                      <w:color w:val="auto"/>
                    </w:rPr>
                  </w:pPr>
                  <w:r>
                    <w:rPr>
                      <w:color w:val="auto"/>
                    </w:rPr>
                    <w:t>回用水质（mg/L）</w:t>
                  </w:r>
                </w:p>
              </w:tc>
              <w:tc>
                <w:tcPr>
                  <w:tcW w:w="444" w:type="pct"/>
                  <w:vAlign w:val="center"/>
                </w:tcPr>
                <w:p w14:paraId="0FF13942">
                  <w:pPr>
                    <w:pStyle w:val="51"/>
                    <w:bidi w:val="0"/>
                    <w:rPr>
                      <w:color w:val="auto"/>
                    </w:rPr>
                  </w:pPr>
                  <w:r>
                    <w:rPr>
                      <w:rFonts w:hint="default"/>
                      <w:color w:val="auto"/>
                      <w:lang w:val="en-US" w:eastAsia="zh-CN"/>
                    </w:rPr>
                    <w:t>6~9</w:t>
                  </w:r>
                </w:p>
              </w:tc>
              <w:tc>
                <w:tcPr>
                  <w:tcW w:w="426" w:type="pct"/>
                  <w:vAlign w:val="center"/>
                </w:tcPr>
                <w:p w14:paraId="33214FC8">
                  <w:pPr>
                    <w:pStyle w:val="51"/>
                    <w:bidi w:val="0"/>
                    <w:rPr>
                      <w:color w:val="auto"/>
                    </w:rPr>
                  </w:pPr>
                  <w:r>
                    <w:rPr>
                      <w:rFonts w:hint="default"/>
                      <w:color w:val="auto"/>
                      <w:lang w:val="en-US" w:eastAsia="zh-CN"/>
                    </w:rPr>
                    <w:t>45.15</w:t>
                  </w:r>
                </w:p>
              </w:tc>
              <w:tc>
                <w:tcPr>
                  <w:tcW w:w="533" w:type="pct"/>
                  <w:vAlign w:val="center"/>
                </w:tcPr>
                <w:p w14:paraId="2B9F8FA2">
                  <w:pPr>
                    <w:pStyle w:val="51"/>
                    <w:bidi w:val="0"/>
                    <w:rPr>
                      <w:color w:val="auto"/>
                    </w:rPr>
                  </w:pPr>
                  <w:r>
                    <w:rPr>
                      <w:rFonts w:hint="default"/>
                      <w:color w:val="auto"/>
                      <w:lang w:val="en-US" w:eastAsia="zh-CN"/>
                    </w:rPr>
                    <w:t>31.75</w:t>
                  </w:r>
                </w:p>
              </w:tc>
              <w:tc>
                <w:tcPr>
                  <w:tcW w:w="400" w:type="pct"/>
                  <w:vAlign w:val="center"/>
                </w:tcPr>
                <w:p w14:paraId="607EDBD7">
                  <w:pPr>
                    <w:pStyle w:val="51"/>
                    <w:bidi w:val="0"/>
                    <w:rPr>
                      <w:color w:val="auto"/>
                    </w:rPr>
                  </w:pPr>
                  <w:r>
                    <w:rPr>
                      <w:rFonts w:hint="default"/>
                      <w:color w:val="auto"/>
                      <w:lang w:val="en-US" w:eastAsia="zh-CN"/>
                    </w:rPr>
                    <w:t xml:space="preserve">4.90 </w:t>
                  </w:r>
                </w:p>
              </w:tc>
              <w:tc>
                <w:tcPr>
                  <w:tcW w:w="462" w:type="pct"/>
                  <w:vAlign w:val="center"/>
                </w:tcPr>
                <w:p w14:paraId="639864E0">
                  <w:pPr>
                    <w:pStyle w:val="51"/>
                    <w:bidi w:val="0"/>
                    <w:rPr>
                      <w:color w:val="auto"/>
                    </w:rPr>
                  </w:pPr>
                  <w:r>
                    <w:rPr>
                      <w:rFonts w:hint="default"/>
                      <w:color w:val="auto"/>
                      <w:lang w:val="en-US" w:eastAsia="zh-CN"/>
                    </w:rPr>
                    <w:t>10.50</w:t>
                  </w:r>
                </w:p>
              </w:tc>
              <w:tc>
                <w:tcPr>
                  <w:tcW w:w="373" w:type="pct"/>
                  <w:vAlign w:val="center"/>
                </w:tcPr>
                <w:p w14:paraId="63975482">
                  <w:pPr>
                    <w:pStyle w:val="51"/>
                    <w:bidi w:val="0"/>
                    <w:rPr>
                      <w:color w:val="auto"/>
                    </w:rPr>
                  </w:pPr>
                  <w:r>
                    <w:rPr>
                      <w:rFonts w:hint="default"/>
                      <w:color w:val="auto"/>
                      <w:lang w:val="en-US" w:eastAsia="zh-CN"/>
                    </w:rPr>
                    <w:t xml:space="preserve">0.49 </w:t>
                  </w:r>
                </w:p>
              </w:tc>
              <w:tc>
                <w:tcPr>
                  <w:tcW w:w="513" w:type="pct"/>
                  <w:vAlign w:val="center"/>
                </w:tcPr>
                <w:p w14:paraId="09704E82">
                  <w:pPr>
                    <w:pStyle w:val="51"/>
                    <w:bidi w:val="0"/>
                    <w:rPr>
                      <w:color w:val="auto"/>
                    </w:rPr>
                  </w:pPr>
                  <w:r>
                    <w:rPr>
                      <w:rFonts w:hint="default"/>
                      <w:color w:val="auto"/>
                      <w:lang w:val="en-US" w:eastAsia="zh-CN"/>
                    </w:rPr>
                    <w:t>0.84</w:t>
                  </w:r>
                </w:p>
              </w:tc>
              <w:tc>
                <w:tcPr>
                  <w:tcW w:w="438" w:type="pct"/>
                  <w:vAlign w:val="center"/>
                </w:tcPr>
                <w:p w14:paraId="42D1F751">
                  <w:pPr>
                    <w:pStyle w:val="51"/>
                    <w:bidi w:val="0"/>
                    <w:rPr>
                      <w:color w:val="auto"/>
                    </w:rPr>
                  </w:pPr>
                  <w:r>
                    <w:rPr>
                      <w:rFonts w:hint="default"/>
                      <w:color w:val="auto"/>
                      <w:lang w:val="en-US" w:eastAsia="zh-CN"/>
                    </w:rPr>
                    <w:t>0.08</w:t>
                  </w:r>
                </w:p>
              </w:tc>
            </w:tr>
            <w:tr w14:paraId="4EDE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6" w:type="pct"/>
                  <w:gridSpan w:val="2"/>
                  <w:vAlign w:val="center"/>
                </w:tcPr>
                <w:p w14:paraId="71574601">
                  <w:pPr>
                    <w:pStyle w:val="51"/>
                    <w:bidi w:val="0"/>
                    <w:rPr>
                      <w:color w:val="auto"/>
                    </w:rPr>
                  </w:pPr>
                  <w:r>
                    <w:rPr>
                      <w:color w:val="auto"/>
                    </w:rPr>
                    <w:t>回用标准（mg/L）</w:t>
                  </w:r>
                </w:p>
              </w:tc>
              <w:tc>
                <w:tcPr>
                  <w:tcW w:w="444" w:type="pct"/>
                  <w:vAlign w:val="center"/>
                </w:tcPr>
                <w:p w14:paraId="1AE1F2EB">
                  <w:pPr>
                    <w:pStyle w:val="51"/>
                    <w:bidi w:val="0"/>
                    <w:rPr>
                      <w:b/>
                      <w:bCs/>
                      <w:color w:val="auto"/>
                    </w:rPr>
                  </w:pPr>
                  <w:r>
                    <w:rPr>
                      <w:rFonts w:hint="default"/>
                      <w:b/>
                      <w:bCs/>
                      <w:color w:val="auto"/>
                      <w:lang w:val="en-US" w:eastAsia="zh-CN"/>
                    </w:rPr>
                    <w:t>6~9</w:t>
                  </w:r>
                </w:p>
              </w:tc>
              <w:tc>
                <w:tcPr>
                  <w:tcW w:w="426" w:type="pct"/>
                  <w:vAlign w:val="center"/>
                </w:tcPr>
                <w:p w14:paraId="6DB7E997">
                  <w:pPr>
                    <w:pStyle w:val="51"/>
                    <w:bidi w:val="0"/>
                    <w:rPr>
                      <w:rFonts w:hint="default"/>
                      <w:b/>
                      <w:bCs/>
                      <w:color w:val="auto"/>
                      <w:lang w:val="en-US"/>
                    </w:rPr>
                  </w:pPr>
                  <w:r>
                    <w:rPr>
                      <w:rFonts w:hint="eastAsia"/>
                      <w:b/>
                      <w:bCs/>
                      <w:color w:val="auto"/>
                      <w:lang w:val="en-US" w:eastAsia="zh-CN"/>
                    </w:rPr>
                    <w:t>50</w:t>
                  </w:r>
                </w:p>
              </w:tc>
              <w:tc>
                <w:tcPr>
                  <w:tcW w:w="533" w:type="pct"/>
                  <w:vAlign w:val="center"/>
                </w:tcPr>
                <w:p w14:paraId="627DCC07">
                  <w:pPr>
                    <w:pStyle w:val="51"/>
                    <w:bidi w:val="0"/>
                    <w:rPr>
                      <w:b/>
                      <w:bCs/>
                      <w:color w:val="auto"/>
                    </w:rPr>
                  </w:pPr>
                  <w:r>
                    <w:rPr>
                      <w:rFonts w:hint="eastAsia"/>
                      <w:b/>
                      <w:bCs/>
                      <w:color w:val="auto"/>
                      <w:lang w:val="en-US" w:eastAsia="zh-CN"/>
                    </w:rPr>
                    <w:t>/</w:t>
                  </w:r>
                </w:p>
              </w:tc>
              <w:tc>
                <w:tcPr>
                  <w:tcW w:w="675" w:type="dxa"/>
                  <w:vAlign w:val="center"/>
                </w:tcPr>
                <w:p w14:paraId="435429CD">
                  <w:pPr>
                    <w:pStyle w:val="51"/>
                    <w:bidi w:val="0"/>
                    <w:rPr>
                      <w:b/>
                      <w:bCs/>
                      <w:color w:val="auto"/>
                    </w:rPr>
                  </w:pPr>
                  <w:r>
                    <w:rPr>
                      <w:rFonts w:hint="eastAsia"/>
                      <w:b/>
                      <w:bCs/>
                      <w:color w:val="auto"/>
                      <w:lang w:val="en-US" w:eastAsia="zh-CN"/>
                    </w:rPr>
                    <w:t>5</w:t>
                  </w:r>
                </w:p>
              </w:tc>
              <w:tc>
                <w:tcPr>
                  <w:tcW w:w="780" w:type="dxa"/>
                  <w:vAlign w:val="center"/>
                </w:tcPr>
                <w:p w14:paraId="362E497B">
                  <w:pPr>
                    <w:pStyle w:val="51"/>
                    <w:bidi w:val="0"/>
                    <w:rPr>
                      <w:b/>
                      <w:bCs/>
                      <w:color w:val="auto"/>
                    </w:rPr>
                  </w:pPr>
                  <w:r>
                    <w:rPr>
                      <w:rFonts w:hint="eastAsia"/>
                      <w:b/>
                      <w:bCs/>
                      <w:color w:val="auto"/>
                      <w:lang w:val="en-US" w:eastAsia="zh-CN"/>
                    </w:rPr>
                    <w:t>15</w:t>
                  </w:r>
                </w:p>
              </w:tc>
              <w:tc>
                <w:tcPr>
                  <w:tcW w:w="630" w:type="dxa"/>
                  <w:vAlign w:val="center"/>
                </w:tcPr>
                <w:p w14:paraId="4572C066">
                  <w:pPr>
                    <w:pStyle w:val="51"/>
                    <w:bidi w:val="0"/>
                    <w:rPr>
                      <w:b/>
                      <w:bCs/>
                      <w:color w:val="auto"/>
                    </w:rPr>
                  </w:pPr>
                  <w:r>
                    <w:rPr>
                      <w:rFonts w:hint="eastAsia"/>
                      <w:b/>
                      <w:bCs/>
                      <w:color w:val="auto"/>
                      <w:lang w:val="en-US" w:eastAsia="zh-CN"/>
                    </w:rPr>
                    <w:t>0.5</w:t>
                  </w:r>
                </w:p>
              </w:tc>
              <w:tc>
                <w:tcPr>
                  <w:tcW w:w="866" w:type="dxa"/>
                  <w:vAlign w:val="center"/>
                </w:tcPr>
                <w:p w14:paraId="0E57AE07">
                  <w:pPr>
                    <w:pStyle w:val="51"/>
                    <w:bidi w:val="0"/>
                    <w:rPr>
                      <w:b/>
                      <w:bCs/>
                      <w:color w:val="auto"/>
                    </w:rPr>
                  </w:pPr>
                  <w:r>
                    <w:rPr>
                      <w:rFonts w:hint="eastAsia"/>
                      <w:b/>
                      <w:bCs/>
                      <w:color w:val="auto"/>
                      <w:lang w:val="en-US" w:eastAsia="zh-CN"/>
                    </w:rPr>
                    <w:t>1</w:t>
                  </w:r>
                </w:p>
              </w:tc>
              <w:tc>
                <w:tcPr>
                  <w:tcW w:w="740" w:type="dxa"/>
                  <w:vAlign w:val="center"/>
                </w:tcPr>
                <w:p w14:paraId="74FC7C14">
                  <w:pPr>
                    <w:pStyle w:val="51"/>
                    <w:bidi w:val="0"/>
                    <w:rPr>
                      <w:b/>
                      <w:bCs/>
                      <w:color w:val="auto"/>
                    </w:rPr>
                  </w:pPr>
                  <w:r>
                    <w:rPr>
                      <w:rFonts w:hint="eastAsia"/>
                      <w:b/>
                      <w:bCs/>
                      <w:color w:val="auto"/>
                      <w:lang w:val="en-US" w:eastAsia="zh-CN"/>
                    </w:rPr>
                    <w:t>0.1</w:t>
                  </w:r>
                </w:p>
              </w:tc>
            </w:tr>
          </w:tbl>
          <w:p w14:paraId="793CFA27">
            <w:pPr>
              <w:pStyle w:val="47"/>
              <w:ind w:firstLine="480"/>
              <w:rPr>
                <w:color w:val="auto"/>
              </w:rPr>
            </w:pPr>
            <w:r>
              <w:rPr>
                <w:rFonts w:hint="eastAsia"/>
                <w:color w:val="auto"/>
              </w:rPr>
              <w:t>根据</w:t>
            </w:r>
            <w:r>
              <w:rPr>
                <w:rFonts w:hint="eastAsia"/>
                <w:color w:val="auto"/>
              </w:rPr>
              <w:fldChar w:fldCharType="begin"/>
            </w:r>
            <w:r>
              <w:rPr>
                <w:rFonts w:hint="eastAsia"/>
                <w:color w:val="auto"/>
              </w:rPr>
              <w:instrText xml:space="preserve"> REF _Ref3729 \h </w:instrText>
            </w:r>
            <w:r>
              <w:rPr>
                <w:rFonts w:hint="eastAsia"/>
                <w:color w:val="auto"/>
              </w:rPr>
              <w:fldChar w:fldCharType="separate"/>
            </w:r>
            <w:r>
              <w:rPr>
                <w:color w:val="auto"/>
              </w:rPr>
              <w:t>表4- 13</w:t>
            </w:r>
            <w:r>
              <w:rPr>
                <w:rFonts w:hint="eastAsia"/>
                <w:color w:val="auto"/>
              </w:rPr>
              <w:fldChar w:fldCharType="end"/>
            </w:r>
            <w:r>
              <w:rPr>
                <w:rFonts w:hint="eastAsia"/>
                <w:color w:val="auto"/>
              </w:rPr>
              <w:t>可知，本项目喷水织造废水经厂区自建污水处理站处理后，出水水质能够达到《城市污水再生利用 工业用水水质》（GB/T 19923-2024）表1</w:t>
            </w:r>
            <w:r>
              <w:rPr>
                <w:rFonts w:hint="eastAsia"/>
                <w:color w:val="auto"/>
                <w:lang w:eastAsia="zh-CN"/>
              </w:rPr>
              <w:t>、</w:t>
            </w:r>
            <w:r>
              <w:rPr>
                <w:rFonts w:hint="eastAsia"/>
                <w:color w:val="auto"/>
              </w:rPr>
              <w:t>《纺织染整工业废水中锑污染物排放标准》（DB32/3432-2018）表2的限值要求。</w:t>
            </w:r>
          </w:p>
          <w:p w14:paraId="51449937">
            <w:pPr>
              <w:pStyle w:val="47"/>
              <w:ind w:firstLine="480"/>
              <w:rPr>
                <w:color w:val="auto"/>
              </w:rPr>
            </w:pPr>
            <w:r>
              <w:rPr>
                <w:rFonts w:hint="eastAsia"/>
                <w:color w:val="auto"/>
              </w:rPr>
              <w:t>此外，泗阳境内同类企业江苏顺裕纺织科技有限公司的喷水织造废水经自建污水处理站处理达回用水标准后均全部回用于生产、不外排，江苏顺裕纺织科技有限公司已通过环保竣工验收。</w:t>
            </w:r>
            <w:r>
              <w:rPr>
                <w:color w:val="auto"/>
              </w:rPr>
              <w:t>因此</w:t>
            </w:r>
            <w:r>
              <w:rPr>
                <w:rFonts w:hint="eastAsia"/>
                <w:color w:val="auto"/>
              </w:rPr>
              <w:t>，本项目织布废水经污水处理站</w:t>
            </w:r>
            <w:r>
              <w:rPr>
                <w:color w:val="auto"/>
              </w:rPr>
              <w:t>处理后</w:t>
            </w:r>
            <w:r>
              <w:rPr>
                <w:rFonts w:hint="eastAsia"/>
                <w:color w:val="auto"/>
              </w:rPr>
              <w:t>全部</w:t>
            </w:r>
            <w:r>
              <w:rPr>
                <w:color w:val="auto"/>
              </w:rPr>
              <w:t>回用</w:t>
            </w:r>
            <w:r>
              <w:rPr>
                <w:rFonts w:hint="eastAsia"/>
                <w:color w:val="auto"/>
              </w:rPr>
              <w:t>可行</w:t>
            </w:r>
            <w:r>
              <w:rPr>
                <w:color w:val="auto"/>
              </w:rPr>
              <w:t>。</w:t>
            </w:r>
          </w:p>
          <w:p w14:paraId="1846366F">
            <w:pPr>
              <w:pStyle w:val="47"/>
              <w:ind w:firstLine="482"/>
              <w:rPr>
                <w:b/>
                <w:bCs/>
                <w:color w:val="auto"/>
              </w:rPr>
            </w:pPr>
            <w:r>
              <w:rPr>
                <w:b/>
                <w:bCs/>
                <w:color w:val="auto"/>
              </w:rPr>
              <w:t>②依托</w:t>
            </w:r>
            <w:r>
              <w:rPr>
                <w:rFonts w:hint="eastAsia"/>
                <w:b/>
                <w:bCs/>
                <w:color w:val="auto"/>
              </w:rPr>
              <w:t>新袁镇</w:t>
            </w:r>
            <w:r>
              <w:rPr>
                <w:b/>
                <w:bCs/>
                <w:color w:val="auto"/>
              </w:rPr>
              <w:t>污水处理厂可行性分析</w:t>
            </w:r>
          </w:p>
          <w:p w14:paraId="2DBF24D2">
            <w:pPr>
              <w:pStyle w:val="47"/>
              <w:ind w:firstLine="480"/>
              <w:rPr>
                <w:color w:val="auto"/>
              </w:rPr>
            </w:pPr>
            <w:r>
              <w:rPr>
                <w:color w:val="auto"/>
              </w:rPr>
              <w:t>新袁镇污水处理厂位于泗阳县新袁镇东北、众裴线东侧</w:t>
            </w:r>
            <w:r>
              <w:rPr>
                <w:rFonts w:hint="eastAsia"/>
                <w:color w:val="auto"/>
              </w:rPr>
              <w:t>，</w:t>
            </w:r>
            <w:r>
              <w:rPr>
                <w:color w:val="auto"/>
              </w:rPr>
              <w:t>主要收集处理</w:t>
            </w:r>
            <w:r>
              <w:rPr>
                <w:rFonts w:hint="eastAsia"/>
                <w:color w:val="auto"/>
              </w:rPr>
              <w:t>泗阳县新袁镇镇区和工业集中区</w:t>
            </w:r>
            <w:r>
              <w:rPr>
                <w:color w:val="auto"/>
              </w:rPr>
              <w:t>。新袁镇污水处理厂</w:t>
            </w:r>
            <w:r>
              <w:rPr>
                <w:rFonts w:hint="eastAsia"/>
                <w:color w:val="auto"/>
              </w:rPr>
              <w:t>近期</w:t>
            </w:r>
            <w:r>
              <w:rPr>
                <w:color w:val="auto"/>
              </w:rPr>
              <w:t>现状处理规模为0.2万t/d，验收规模为0.3万t/d</w:t>
            </w:r>
            <w:r>
              <w:rPr>
                <w:rFonts w:hint="eastAsia"/>
                <w:color w:val="auto"/>
              </w:rPr>
              <w:t>，</w:t>
            </w:r>
            <w:r>
              <w:rPr>
                <w:color w:val="auto"/>
              </w:rPr>
              <w:t>尾水达到《城镇污水处理厂污染物排放标准》</w:t>
            </w:r>
            <w:r>
              <w:rPr>
                <w:rFonts w:hint="eastAsia"/>
                <w:color w:val="auto"/>
              </w:rPr>
              <w:t>（</w:t>
            </w:r>
            <w:r>
              <w:rPr>
                <w:color w:val="auto"/>
              </w:rPr>
              <w:t>GB18918-2002</w:t>
            </w:r>
            <w:r>
              <w:rPr>
                <w:rFonts w:hint="eastAsia"/>
                <w:color w:val="auto"/>
              </w:rPr>
              <w:t>）</w:t>
            </w:r>
            <w:r>
              <w:rPr>
                <w:color w:val="auto"/>
              </w:rPr>
              <w:t>中表1一级A标准后排入黄码河。该工程于2012年11月8日取得环评批复（泗环评〔2012〕100号），于2014年6月24日通过验收。现状稳定运行，达标排放。</w:t>
            </w:r>
            <w:r>
              <w:rPr>
                <w:rFonts w:hint="eastAsia"/>
                <w:color w:val="auto"/>
              </w:rPr>
              <w:t>远期将</w:t>
            </w:r>
            <w:r>
              <w:rPr>
                <w:color w:val="auto"/>
              </w:rPr>
              <w:t>尽快启动新袁镇污水处理厂扩建工程扩建后总规模为0.5万t/d，远期尾水达到《城镇污水处理厂污染物排放标准》</w:t>
            </w:r>
            <w:r>
              <w:rPr>
                <w:rFonts w:hint="eastAsia"/>
                <w:color w:val="auto"/>
              </w:rPr>
              <w:t>（</w:t>
            </w:r>
            <w:r>
              <w:rPr>
                <w:color w:val="auto"/>
              </w:rPr>
              <w:t>GB18918-2002</w:t>
            </w:r>
            <w:r>
              <w:rPr>
                <w:rFonts w:hint="eastAsia"/>
                <w:color w:val="auto"/>
              </w:rPr>
              <w:t>）</w:t>
            </w:r>
            <w:r>
              <w:rPr>
                <w:color w:val="auto"/>
              </w:rPr>
              <w:t>中表1</w:t>
            </w:r>
            <w:r>
              <w:rPr>
                <w:rFonts w:hint="eastAsia"/>
                <w:color w:val="auto"/>
              </w:rPr>
              <w:t>一</w:t>
            </w:r>
            <w:r>
              <w:rPr>
                <w:color w:val="auto"/>
              </w:rPr>
              <w:t>级A标准后排入黄码河。</w:t>
            </w:r>
          </w:p>
          <w:p w14:paraId="72881588">
            <w:pPr>
              <w:pStyle w:val="47"/>
              <w:ind w:firstLine="480"/>
              <w:rPr>
                <w:color w:val="auto"/>
              </w:rPr>
            </w:pPr>
            <w:r>
              <w:rPr>
                <w:color w:val="auto"/>
              </w:rPr>
              <w:t>新袁镇污水处理厂工艺流程见</w:t>
            </w:r>
            <w:r>
              <w:rPr>
                <w:color w:val="auto"/>
              </w:rPr>
              <w:fldChar w:fldCharType="begin"/>
            </w:r>
            <w:r>
              <w:rPr>
                <w:color w:val="auto"/>
              </w:rPr>
              <w:instrText xml:space="preserve"> REF _Ref28544 \h </w:instrText>
            </w:r>
            <w:r>
              <w:rPr>
                <w:color w:val="auto"/>
              </w:rPr>
              <w:fldChar w:fldCharType="separate"/>
            </w:r>
            <w:r>
              <w:rPr>
                <w:color w:val="auto"/>
              </w:rPr>
              <w:t>图4- 2</w:t>
            </w:r>
            <w:r>
              <w:rPr>
                <w:color w:val="auto"/>
              </w:rPr>
              <w:fldChar w:fldCharType="end"/>
            </w:r>
            <w:r>
              <w:rPr>
                <w:color w:val="auto"/>
              </w:rPr>
              <w:t>，处理工艺为“粗格栅-细格栅-沉砂池-多功能预处理池-生物转盘-滤布滤池-消毒”</w:t>
            </w:r>
            <w:r>
              <w:rPr>
                <w:rFonts w:hint="eastAsia"/>
                <w:color w:val="auto"/>
              </w:rPr>
              <w:t>，</w:t>
            </w:r>
            <w:r>
              <w:rPr>
                <w:color w:val="auto"/>
              </w:rPr>
              <w:t>由总排水干管送来的污水首先进入</w:t>
            </w:r>
            <w:r>
              <w:rPr>
                <w:rFonts w:hint="eastAsia"/>
                <w:color w:val="auto"/>
                <w:lang w:eastAsia="zh-CN"/>
              </w:rPr>
              <w:t>污水处理厂</w:t>
            </w:r>
            <w:r>
              <w:rPr>
                <w:color w:val="auto"/>
              </w:rPr>
              <w:t>内格栅渠，经粗格栅拦截水中较大的漂浮物后由潜水泵提升至细格栅井，经细格栅进一步拦截去除污水中细小的悬浮物，再经过定期清淘的平流沉砂渠，分离并去除污水中砂粒。经上述预处理后的污水进入多功能预处理池，该池集沉淀、水质水量调节、污泥储存等功能为一体，将传统预处理流程中包含的初沉池及调节池功能合并</w:t>
            </w:r>
            <w:r>
              <w:rPr>
                <w:rFonts w:hint="eastAsia"/>
                <w:color w:val="auto"/>
              </w:rPr>
              <w:t>，</w:t>
            </w:r>
            <w:r>
              <w:rPr>
                <w:color w:val="auto"/>
              </w:rPr>
              <w:t>同时具备短期储存初沉污泥和剩余污泥功能。调节区设置潜污泵</w:t>
            </w:r>
            <w:r>
              <w:rPr>
                <w:rFonts w:hint="eastAsia"/>
                <w:color w:val="auto"/>
              </w:rPr>
              <w:t>，</w:t>
            </w:r>
            <w:r>
              <w:rPr>
                <w:color w:val="auto"/>
              </w:rPr>
              <w:t>将污水提升至生物转盘进一步去除污染物质。生物转盘除能有效地去除有机污染物外，随着膜的增厚，内层的</w:t>
            </w:r>
            <w:r>
              <w:rPr>
                <w:rFonts w:hint="eastAsia"/>
                <w:color w:val="auto"/>
              </w:rPr>
              <w:t>微生物呈</w:t>
            </w:r>
            <w:r>
              <w:rPr>
                <w:color w:val="auto"/>
              </w:rPr>
              <w:t>厌氧状态，还具有硝化、脱氮与除磷的功能。反应出水经混合后进入滤布滤池，污水通过滤布过滤，过滤液通过</w:t>
            </w:r>
            <w:r>
              <w:rPr>
                <w:rFonts w:hint="eastAsia"/>
                <w:color w:val="auto"/>
              </w:rPr>
              <w:t>净空</w:t>
            </w:r>
            <w:r>
              <w:rPr>
                <w:color w:val="auto"/>
              </w:rPr>
              <w:t>管收集，重力流通过溢流槽排出滤池。过滤后经消毒池消毒</w:t>
            </w:r>
            <w:r>
              <w:rPr>
                <w:rFonts w:hint="eastAsia"/>
                <w:color w:val="auto"/>
              </w:rPr>
              <w:t>，</w:t>
            </w:r>
            <w:r>
              <w:rPr>
                <w:color w:val="auto"/>
              </w:rPr>
              <w:t>确保达标排放。</w:t>
            </w:r>
          </w:p>
          <w:p w14:paraId="239AD73C">
            <w:pPr>
              <w:pStyle w:val="7"/>
              <w:rPr>
                <w:color w:val="auto"/>
              </w:rPr>
            </w:pPr>
            <w:bookmarkStart w:id="68" w:name="_Ref26150"/>
            <w:r>
              <w:rPr>
                <w:color w:val="auto"/>
              </w:rPr>
              <w:drawing>
                <wp:inline distT="0" distB="0" distL="114300" distR="114300">
                  <wp:extent cx="3023870" cy="3985260"/>
                  <wp:effectExtent l="0" t="0" r="5080" b="1524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16"/>
                          <a:srcRect l="25456" t="7893" r="27164" b="18792"/>
                          <a:stretch>
                            <a:fillRect/>
                          </a:stretch>
                        </pic:blipFill>
                        <pic:spPr>
                          <a:xfrm>
                            <a:off x="0" y="0"/>
                            <a:ext cx="3023870" cy="3985260"/>
                          </a:xfrm>
                          <a:prstGeom prst="rect">
                            <a:avLst/>
                          </a:prstGeom>
                          <a:noFill/>
                          <a:ln>
                            <a:noFill/>
                          </a:ln>
                        </pic:spPr>
                      </pic:pic>
                    </a:graphicData>
                  </a:graphic>
                </wp:inline>
              </w:drawing>
            </w:r>
          </w:p>
          <w:bookmarkEnd w:id="68"/>
          <w:p w14:paraId="44698294">
            <w:pPr>
              <w:pStyle w:val="7"/>
              <w:rPr>
                <w:rStyle w:val="25"/>
                <w:b/>
                <w:bCs/>
                <w:color w:val="auto"/>
              </w:rPr>
            </w:pPr>
            <w:bookmarkStart w:id="69" w:name="_Ref28544"/>
            <w:r>
              <w:rPr>
                <w:color w:val="auto"/>
              </w:rPr>
              <w:t xml:space="preserve">图4- </w:t>
            </w:r>
            <w:r>
              <w:rPr>
                <w:color w:val="auto"/>
              </w:rPr>
              <w:fldChar w:fldCharType="begin"/>
            </w:r>
            <w:r>
              <w:rPr>
                <w:color w:val="auto"/>
              </w:rPr>
              <w:instrText xml:space="preserve"> SEQ 图4- \* ARABIC </w:instrText>
            </w:r>
            <w:r>
              <w:rPr>
                <w:color w:val="auto"/>
              </w:rPr>
              <w:fldChar w:fldCharType="separate"/>
            </w:r>
            <w:r>
              <w:rPr>
                <w:color w:val="auto"/>
              </w:rPr>
              <w:t>2</w:t>
            </w:r>
            <w:r>
              <w:rPr>
                <w:color w:val="auto"/>
              </w:rPr>
              <w:fldChar w:fldCharType="end"/>
            </w:r>
            <w:bookmarkEnd w:id="69"/>
            <w:r>
              <w:rPr>
                <w:color w:val="auto"/>
              </w:rPr>
              <w:t xml:space="preserve"> </w:t>
            </w:r>
            <w:r>
              <w:rPr>
                <w:rStyle w:val="25"/>
                <w:b/>
                <w:bCs/>
                <w:color w:val="auto"/>
              </w:rPr>
              <w:t>新袁镇污水处理厂污水处理工艺流程</w:t>
            </w:r>
          </w:p>
          <w:p w14:paraId="76A39A85">
            <w:pPr>
              <w:pStyle w:val="47"/>
              <w:ind w:firstLine="480"/>
              <w:rPr>
                <w:color w:val="auto"/>
              </w:rPr>
            </w:pPr>
            <w:r>
              <w:rPr>
                <w:color w:val="auto"/>
              </w:rPr>
              <w:t>新袁镇污水处理厂</w:t>
            </w:r>
            <w:r>
              <w:rPr>
                <w:rFonts w:hint="eastAsia"/>
                <w:color w:val="auto"/>
              </w:rPr>
              <w:t>废水处理量</w:t>
            </w:r>
            <w:r>
              <w:rPr>
                <w:color w:val="auto"/>
              </w:rPr>
              <w:t>为2493.77t/d，占现状规模3000m</w:t>
            </w:r>
            <w:r>
              <w:rPr>
                <w:color w:val="auto"/>
                <w:vertAlign w:val="superscript"/>
              </w:rPr>
              <w:t>3</w:t>
            </w:r>
            <w:r>
              <w:rPr>
                <w:color w:val="auto"/>
              </w:rPr>
              <w:t>/d的83.13%</w:t>
            </w:r>
            <w:r>
              <w:rPr>
                <w:rFonts w:hint="eastAsia"/>
                <w:color w:val="auto"/>
              </w:rPr>
              <w:t>。</w:t>
            </w:r>
            <w:r>
              <w:rPr>
                <w:color w:val="auto"/>
              </w:rPr>
              <w:t>本项目新增废水排放量为</w:t>
            </w:r>
            <w:r>
              <w:rPr>
                <w:rFonts w:hint="eastAsia"/>
                <w:color w:val="auto"/>
              </w:rPr>
              <w:t>8</w:t>
            </w:r>
            <w:r>
              <w:rPr>
                <w:color w:val="auto"/>
              </w:rPr>
              <w:t>m</w:t>
            </w:r>
            <w:r>
              <w:rPr>
                <w:color w:val="auto"/>
                <w:vertAlign w:val="superscript"/>
              </w:rPr>
              <w:t>3</w:t>
            </w:r>
            <w:r>
              <w:rPr>
                <w:color w:val="auto"/>
              </w:rPr>
              <w:t>/d，约占其</w:t>
            </w:r>
            <w:r>
              <w:rPr>
                <w:rFonts w:hint="eastAsia"/>
                <w:color w:val="auto"/>
              </w:rPr>
              <w:t>剩余</w:t>
            </w:r>
            <w:r>
              <w:rPr>
                <w:color w:val="auto"/>
              </w:rPr>
              <w:t>处理规模的</w:t>
            </w:r>
            <w:r>
              <w:rPr>
                <w:rFonts w:hint="eastAsia"/>
                <w:color w:val="auto"/>
              </w:rPr>
              <w:t>1.58</w:t>
            </w:r>
            <w:r>
              <w:rPr>
                <w:color w:val="auto"/>
              </w:rPr>
              <w:t>%，新袁镇污水处理厂有足够容量接纳本项目的污水。项目污水经厂区内化粪池预处理后接管浓度分别为COD280mg/L、SS</w:t>
            </w:r>
            <w:r>
              <w:rPr>
                <w:rFonts w:hint="eastAsia"/>
                <w:color w:val="auto"/>
              </w:rPr>
              <w:t>150</w:t>
            </w:r>
            <w:r>
              <w:rPr>
                <w:color w:val="auto"/>
              </w:rPr>
              <w:t>mg/L、氨氮</w:t>
            </w:r>
            <w:r>
              <w:rPr>
                <w:rFonts w:hint="eastAsia"/>
                <w:color w:val="auto"/>
              </w:rPr>
              <w:t>35</w:t>
            </w:r>
            <w:r>
              <w:rPr>
                <w:color w:val="auto"/>
              </w:rPr>
              <w:t>mg/L、TN</w:t>
            </w:r>
            <w:r>
              <w:rPr>
                <w:rFonts w:hint="eastAsia"/>
                <w:color w:val="auto"/>
              </w:rPr>
              <w:t>45</w:t>
            </w:r>
            <w:r>
              <w:rPr>
                <w:color w:val="auto"/>
              </w:rPr>
              <w:t>0mg/L、TP3mg/L，从水质角度分析，均能达到新袁镇污水处理厂的接管标准。新袁镇污水处理厂污水管网已经铺设到项目所在地。因此，从水量、水质以及接管范围来看，本项目污水排放至新袁镇污水处理厂是可行的。</w:t>
            </w:r>
          </w:p>
          <w:bookmarkEnd w:id="66"/>
          <w:p w14:paraId="6BC6CFA1">
            <w:pPr>
              <w:pStyle w:val="47"/>
              <w:ind w:firstLine="482"/>
              <w:rPr>
                <w:b/>
                <w:bCs/>
                <w:color w:val="auto"/>
              </w:rPr>
            </w:pPr>
            <w:r>
              <w:rPr>
                <w:b/>
                <w:bCs/>
                <w:color w:val="auto"/>
              </w:rPr>
              <w:t>（4）排放口设置情况及监测计划</w:t>
            </w:r>
          </w:p>
          <w:p w14:paraId="2CD9A00C">
            <w:pPr>
              <w:pStyle w:val="47"/>
              <w:ind w:firstLine="480"/>
              <w:rPr>
                <w:color w:val="auto"/>
              </w:rPr>
            </w:pPr>
            <w:r>
              <w:rPr>
                <w:color w:val="auto"/>
              </w:rPr>
              <w:t>本项目污水接管口需根据原江苏省环保厅《江苏省排污口设置及规范化整治管理办法》进行规范化设计，原则上项目只能设置一个污水接排口和一个雨水排口，同时应在排放口设置明显规范化环保标识牌。建设单位应依据国家及地方相关环保要求进行固定污染源排污许可申报，</w:t>
            </w:r>
            <w:r>
              <w:rPr>
                <w:rFonts w:hint="eastAsia"/>
                <w:color w:val="auto"/>
              </w:rPr>
              <w:t>根据《排污单位自行监测技术指南 纺织印染工业》（</w:t>
            </w:r>
            <w:r>
              <w:rPr>
                <w:color w:val="auto"/>
              </w:rPr>
              <w:t>HJ879-2017</w:t>
            </w:r>
            <w:r>
              <w:rPr>
                <w:rFonts w:hint="eastAsia"/>
                <w:color w:val="auto"/>
              </w:rPr>
              <w:t>）</w:t>
            </w:r>
            <w:r>
              <w:rPr>
                <w:color w:val="auto"/>
              </w:rPr>
              <w:t>中有关要求并结合企业实际情况开展例行监测。</w:t>
            </w:r>
          </w:p>
          <w:p w14:paraId="60BB776E">
            <w:pPr>
              <w:pStyle w:val="47"/>
              <w:ind w:firstLine="480"/>
              <w:rPr>
                <w:color w:val="auto"/>
              </w:rPr>
            </w:pPr>
            <w:r>
              <w:rPr>
                <w:color w:val="auto"/>
              </w:rPr>
              <w:t>本项目</w:t>
            </w:r>
            <w:r>
              <w:rPr>
                <w:rFonts w:hint="eastAsia"/>
                <w:color w:val="auto"/>
              </w:rPr>
              <w:t>仅外排职工生活污水，职工生活污水经厂区化粪池预处理后接管至新袁镇污水处理厂，尾水排放至黄码河；喷水织造废水经厂区污水处理站处理后全部回用于喷水织造、不外排，磨毛用水经捞渣后循环使用、不外排。因此，本项目只需对雨水排放口进行监测。本项目雨水监测计划见</w:t>
            </w:r>
            <w:r>
              <w:rPr>
                <w:rFonts w:hint="eastAsia"/>
                <w:color w:val="auto"/>
              </w:rPr>
              <w:fldChar w:fldCharType="begin"/>
            </w:r>
            <w:r>
              <w:rPr>
                <w:rFonts w:hint="eastAsia"/>
                <w:color w:val="auto"/>
              </w:rPr>
              <w:instrText xml:space="preserve"> REF _Ref18160 \h </w:instrText>
            </w:r>
            <w:r>
              <w:rPr>
                <w:rFonts w:hint="eastAsia"/>
                <w:color w:val="auto"/>
              </w:rPr>
              <w:fldChar w:fldCharType="separate"/>
            </w:r>
            <w:r>
              <w:rPr>
                <w:color w:val="auto"/>
              </w:rPr>
              <w:t>表4- 14</w:t>
            </w:r>
            <w:r>
              <w:rPr>
                <w:rFonts w:hint="eastAsia"/>
                <w:color w:val="auto"/>
              </w:rPr>
              <w:fldChar w:fldCharType="end"/>
            </w:r>
            <w:r>
              <w:rPr>
                <w:rFonts w:hint="eastAsia"/>
                <w:color w:val="auto"/>
              </w:rPr>
              <w:t>。</w:t>
            </w:r>
          </w:p>
          <w:p w14:paraId="18B8BE53">
            <w:pPr>
              <w:pStyle w:val="7"/>
              <w:rPr>
                <w:color w:val="auto"/>
              </w:rPr>
            </w:pPr>
            <w:bookmarkStart w:id="70" w:name="_Ref18160"/>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14</w:t>
            </w:r>
            <w:r>
              <w:rPr>
                <w:color w:val="auto"/>
              </w:rPr>
              <w:fldChar w:fldCharType="end"/>
            </w:r>
            <w:bookmarkEnd w:id="70"/>
            <w:r>
              <w:rPr>
                <w:rFonts w:hint="eastAsia"/>
                <w:color w:val="auto"/>
              </w:rPr>
              <w:t xml:space="preserve"> </w:t>
            </w:r>
            <w:r>
              <w:rPr>
                <w:color w:val="auto"/>
              </w:rPr>
              <w:t>项目</w:t>
            </w:r>
            <w:r>
              <w:rPr>
                <w:rFonts w:hint="eastAsia"/>
                <w:color w:val="auto"/>
              </w:rPr>
              <w:t>雨水</w:t>
            </w:r>
            <w:r>
              <w:rPr>
                <w:color w:val="auto"/>
              </w:rPr>
              <w:t>监测计划</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344"/>
              <w:gridCol w:w="2344"/>
              <w:gridCol w:w="2345"/>
            </w:tblGrid>
            <w:tr w14:paraId="7A7C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pct"/>
                  <w:tcBorders>
                    <w:tl2br w:val="nil"/>
                    <w:tr2bl w:val="nil"/>
                  </w:tcBorders>
                  <w:vAlign w:val="center"/>
                </w:tcPr>
                <w:p w14:paraId="7A9BDE91">
                  <w:pPr>
                    <w:pStyle w:val="49"/>
                    <w:rPr>
                      <w:color w:val="auto"/>
                    </w:rPr>
                  </w:pPr>
                  <w:r>
                    <w:rPr>
                      <w:color w:val="auto"/>
                    </w:rPr>
                    <w:t>项目</w:t>
                  </w:r>
                </w:p>
              </w:tc>
              <w:tc>
                <w:tcPr>
                  <w:tcW w:w="1390" w:type="pct"/>
                  <w:tcBorders>
                    <w:tl2br w:val="nil"/>
                    <w:tr2bl w:val="nil"/>
                  </w:tcBorders>
                  <w:vAlign w:val="center"/>
                </w:tcPr>
                <w:p w14:paraId="3DBB0A87">
                  <w:pPr>
                    <w:pStyle w:val="49"/>
                    <w:rPr>
                      <w:color w:val="auto"/>
                    </w:rPr>
                  </w:pPr>
                  <w:r>
                    <w:rPr>
                      <w:color w:val="auto"/>
                    </w:rPr>
                    <w:t>监测点位</w:t>
                  </w:r>
                </w:p>
              </w:tc>
              <w:tc>
                <w:tcPr>
                  <w:tcW w:w="1390" w:type="pct"/>
                  <w:tcBorders>
                    <w:tl2br w:val="nil"/>
                    <w:tr2bl w:val="nil"/>
                  </w:tcBorders>
                  <w:vAlign w:val="center"/>
                </w:tcPr>
                <w:p w14:paraId="3219DF88">
                  <w:pPr>
                    <w:pStyle w:val="49"/>
                    <w:rPr>
                      <w:color w:val="auto"/>
                    </w:rPr>
                  </w:pPr>
                  <w:r>
                    <w:rPr>
                      <w:color w:val="auto"/>
                    </w:rPr>
                    <w:t>监测</w:t>
                  </w:r>
                  <w:r>
                    <w:rPr>
                      <w:rFonts w:hint="eastAsia"/>
                      <w:color w:val="auto"/>
                    </w:rPr>
                    <w:t>指标</w:t>
                  </w:r>
                </w:p>
              </w:tc>
              <w:tc>
                <w:tcPr>
                  <w:tcW w:w="1390" w:type="pct"/>
                  <w:tcBorders>
                    <w:tl2br w:val="nil"/>
                    <w:tr2bl w:val="nil"/>
                  </w:tcBorders>
                  <w:vAlign w:val="center"/>
                </w:tcPr>
                <w:p w14:paraId="23480775">
                  <w:pPr>
                    <w:pStyle w:val="49"/>
                    <w:rPr>
                      <w:color w:val="auto"/>
                    </w:rPr>
                  </w:pPr>
                  <w:r>
                    <w:rPr>
                      <w:color w:val="auto"/>
                    </w:rPr>
                    <w:t>监测频次</w:t>
                  </w:r>
                </w:p>
              </w:tc>
            </w:tr>
            <w:tr w14:paraId="5CD4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pct"/>
                  <w:tcBorders>
                    <w:tl2br w:val="nil"/>
                    <w:tr2bl w:val="nil"/>
                  </w:tcBorders>
                  <w:vAlign w:val="center"/>
                </w:tcPr>
                <w:p w14:paraId="3A8927A2">
                  <w:pPr>
                    <w:pStyle w:val="51"/>
                    <w:rPr>
                      <w:color w:val="auto"/>
                    </w:rPr>
                  </w:pPr>
                  <w:r>
                    <w:rPr>
                      <w:rFonts w:hint="eastAsia"/>
                      <w:color w:val="auto"/>
                    </w:rPr>
                    <w:t>雨水</w:t>
                  </w:r>
                </w:p>
              </w:tc>
              <w:tc>
                <w:tcPr>
                  <w:tcW w:w="1390" w:type="pct"/>
                  <w:tcBorders>
                    <w:tl2br w:val="nil"/>
                    <w:tr2bl w:val="nil"/>
                  </w:tcBorders>
                  <w:vAlign w:val="center"/>
                </w:tcPr>
                <w:p w14:paraId="086253D9">
                  <w:pPr>
                    <w:pStyle w:val="51"/>
                    <w:rPr>
                      <w:color w:val="auto"/>
                    </w:rPr>
                  </w:pPr>
                  <w:r>
                    <w:rPr>
                      <w:rFonts w:hint="eastAsia"/>
                      <w:color w:val="auto"/>
                    </w:rPr>
                    <w:t>雨水排口（YS001）</w:t>
                  </w:r>
                </w:p>
              </w:tc>
              <w:tc>
                <w:tcPr>
                  <w:tcW w:w="1390" w:type="pct"/>
                  <w:tcBorders>
                    <w:tl2br w:val="nil"/>
                    <w:tr2bl w:val="nil"/>
                  </w:tcBorders>
                  <w:vAlign w:val="center"/>
                </w:tcPr>
                <w:p w14:paraId="2302DA64">
                  <w:pPr>
                    <w:pStyle w:val="51"/>
                    <w:rPr>
                      <w:color w:val="auto"/>
                    </w:rPr>
                  </w:pPr>
                  <w:r>
                    <w:rPr>
                      <w:rFonts w:hint="eastAsia"/>
                      <w:color w:val="auto"/>
                    </w:rPr>
                    <w:t>COD、SS</w:t>
                  </w:r>
                </w:p>
              </w:tc>
              <w:tc>
                <w:tcPr>
                  <w:tcW w:w="1390" w:type="pct"/>
                  <w:tcBorders>
                    <w:tl2br w:val="nil"/>
                    <w:tr2bl w:val="nil"/>
                  </w:tcBorders>
                  <w:vAlign w:val="center"/>
                </w:tcPr>
                <w:p w14:paraId="7C0368B8">
                  <w:pPr>
                    <w:pStyle w:val="51"/>
                    <w:rPr>
                      <w:color w:val="auto"/>
                    </w:rPr>
                  </w:pPr>
                  <w:r>
                    <w:rPr>
                      <w:rFonts w:hint="eastAsia"/>
                      <w:color w:val="auto"/>
                    </w:rPr>
                    <w:t>排放期间按日监测</w:t>
                  </w:r>
                </w:p>
              </w:tc>
            </w:tr>
            <w:tr w14:paraId="7C7D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4"/>
                  <w:tcBorders>
                    <w:tl2br w:val="nil"/>
                    <w:tr2bl w:val="nil"/>
                  </w:tcBorders>
                  <w:vAlign w:val="center"/>
                </w:tcPr>
                <w:p w14:paraId="6F614FB5">
                  <w:pPr>
                    <w:pStyle w:val="51"/>
                    <w:jc w:val="left"/>
                    <w:rPr>
                      <w:color w:val="auto"/>
                    </w:rPr>
                  </w:pPr>
                  <w:r>
                    <w:rPr>
                      <w:rFonts w:hint="eastAsia"/>
                      <w:color w:val="auto"/>
                    </w:rPr>
                    <w:t>注：雨水排口需安装监控，定期委托第三方开展例行监测，并纳入排污许可管理。</w:t>
                  </w:r>
                </w:p>
              </w:tc>
            </w:tr>
          </w:tbl>
          <w:p w14:paraId="1B7FA6C8">
            <w:pPr>
              <w:pStyle w:val="47"/>
              <w:ind w:firstLine="482"/>
              <w:rPr>
                <w:b/>
                <w:bCs/>
                <w:color w:val="auto"/>
              </w:rPr>
            </w:pPr>
            <w:r>
              <w:rPr>
                <w:b/>
                <w:bCs/>
                <w:color w:val="auto"/>
              </w:rPr>
              <w:t xml:space="preserve">（5）地表水环境影响评价结论 </w:t>
            </w:r>
          </w:p>
          <w:p w14:paraId="16CE0ACB">
            <w:pPr>
              <w:pStyle w:val="47"/>
              <w:ind w:firstLine="480"/>
              <w:rPr>
                <w:color w:val="auto"/>
              </w:rPr>
            </w:pPr>
            <w:r>
              <w:rPr>
                <w:color w:val="auto"/>
              </w:rPr>
              <w:t>本项目位于受纳水体环境质量不达标区域，但园区规划环评已制定整改计划，计划通过优化河道管护、加大农业面源污染治理、完成污水管网及基础设施建设，以减少污水直接外排量，从而改善黄码河水质状况。</w:t>
            </w:r>
          </w:p>
          <w:p w14:paraId="359A7246">
            <w:pPr>
              <w:pStyle w:val="47"/>
              <w:ind w:firstLine="480"/>
              <w:rPr>
                <w:color w:val="auto"/>
              </w:rPr>
            </w:pPr>
            <w:r>
              <w:rPr>
                <w:color w:val="auto"/>
              </w:rPr>
              <w:t>本项目营运期产生的生活污水经厂区化粪池预处理达标后接管至</w:t>
            </w:r>
            <w:r>
              <w:rPr>
                <w:rFonts w:hint="eastAsia"/>
                <w:color w:val="auto"/>
              </w:rPr>
              <w:t>新袁镇污水处理厂进一步处理</w:t>
            </w:r>
            <w:r>
              <w:rPr>
                <w:color w:val="auto"/>
              </w:rPr>
              <w:t>，尾水达《城镇污水处理厂污染物排放标准》（GB18918-2002）表1中一级A标准后排入黄码河，对区域地表水环境影响较小。因此，本项目对地表水环境的影响可以接受。</w:t>
            </w:r>
          </w:p>
          <w:p w14:paraId="501D1013">
            <w:pPr>
              <w:pStyle w:val="47"/>
              <w:ind w:firstLine="482"/>
              <w:rPr>
                <w:b/>
                <w:bCs/>
                <w:color w:val="auto"/>
              </w:rPr>
            </w:pPr>
            <w:r>
              <w:rPr>
                <w:b/>
                <w:bCs/>
                <w:color w:val="auto"/>
              </w:rPr>
              <w:t>3、噪声环境影响和治理措施</w:t>
            </w:r>
          </w:p>
          <w:p w14:paraId="218C0059">
            <w:pPr>
              <w:pStyle w:val="47"/>
              <w:ind w:firstLine="482"/>
              <w:rPr>
                <w:b/>
                <w:bCs/>
                <w:color w:val="auto"/>
              </w:rPr>
            </w:pPr>
            <w:r>
              <w:rPr>
                <w:b/>
                <w:bCs/>
                <w:color w:val="auto"/>
              </w:rPr>
              <w:t>（1）噪声源</w:t>
            </w:r>
          </w:p>
          <w:p w14:paraId="412B725F">
            <w:pPr>
              <w:pStyle w:val="47"/>
              <w:ind w:firstLine="480"/>
              <w:rPr>
                <w:color w:val="auto"/>
              </w:rPr>
            </w:pPr>
            <w:r>
              <w:rPr>
                <w:color w:val="auto"/>
              </w:rPr>
              <w:t>本项目产生噪声的设备主要是设备，据类比调查，噪声源强在</w:t>
            </w:r>
            <w:r>
              <w:rPr>
                <w:rFonts w:hint="eastAsia"/>
                <w:color w:val="auto"/>
              </w:rPr>
              <w:t>70</w:t>
            </w:r>
            <w:r>
              <w:rPr>
                <w:color w:val="auto"/>
              </w:rPr>
              <w:t>~</w:t>
            </w:r>
            <w:r>
              <w:rPr>
                <w:rFonts w:hint="eastAsia"/>
                <w:color w:val="auto"/>
              </w:rPr>
              <w:t>90</w:t>
            </w:r>
            <w:r>
              <w:rPr>
                <w:color w:val="auto"/>
              </w:rPr>
              <w:t>dB（A）之间，项目以厂界西南角为坐标原点（0，0）、以西厂界为X轴、以南厂界为Y轴，运营期主要噪声源强及排放特征参见</w:t>
            </w:r>
            <w:r>
              <w:rPr>
                <w:color w:val="auto"/>
              </w:rPr>
              <w:fldChar w:fldCharType="begin"/>
            </w:r>
            <w:r>
              <w:rPr>
                <w:color w:val="auto"/>
              </w:rPr>
              <w:instrText xml:space="preserve"> REF _Ref12631 \h </w:instrText>
            </w:r>
            <w:r>
              <w:rPr>
                <w:color w:val="auto"/>
              </w:rPr>
              <w:fldChar w:fldCharType="separate"/>
            </w:r>
            <w:r>
              <w:rPr>
                <w:color w:val="auto"/>
              </w:rPr>
              <w:t>表4- 15</w:t>
            </w:r>
            <w:r>
              <w:rPr>
                <w:color w:val="auto"/>
              </w:rPr>
              <w:fldChar w:fldCharType="end"/>
            </w:r>
            <w:r>
              <w:rPr>
                <w:color w:val="auto"/>
              </w:rPr>
              <w:t>、</w:t>
            </w:r>
            <w:r>
              <w:rPr>
                <w:color w:val="auto"/>
              </w:rPr>
              <w:fldChar w:fldCharType="begin"/>
            </w:r>
            <w:r>
              <w:rPr>
                <w:color w:val="auto"/>
              </w:rPr>
              <w:instrText xml:space="preserve"> REF _Ref24169 \h </w:instrText>
            </w:r>
            <w:r>
              <w:rPr>
                <w:color w:val="auto"/>
              </w:rPr>
              <w:fldChar w:fldCharType="separate"/>
            </w:r>
            <w:r>
              <w:rPr>
                <w:color w:val="auto"/>
              </w:rPr>
              <w:t>表4- 16</w:t>
            </w:r>
            <w:r>
              <w:rPr>
                <w:color w:val="auto"/>
              </w:rPr>
              <w:fldChar w:fldCharType="end"/>
            </w:r>
            <w:r>
              <w:rPr>
                <w:color w:val="auto"/>
              </w:rPr>
              <w:t>。</w:t>
            </w:r>
          </w:p>
          <w:p w14:paraId="0ABC0F4D">
            <w:pPr>
              <w:pStyle w:val="7"/>
              <w:ind w:firstLine="480"/>
              <w:rPr>
                <w:color w:val="auto"/>
              </w:rPr>
            </w:pPr>
            <w:bookmarkStart w:id="71" w:name="_Ref13207"/>
            <w:bookmarkStart w:id="72" w:name="_Ref12631"/>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15</w:t>
            </w:r>
            <w:r>
              <w:rPr>
                <w:color w:val="auto"/>
              </w:rPr>
              <w:fldChar w:fldCharType="end"/>
            </w:r>
            <w:bookmarkEnd w:id="71"/>
            <w:bookmarkEnd w:id="72"/>
            <w:r>
              <w:rPr>
                <w:color w:val="auto"/>
              </w:rPr>
              <w:t xml:space="preserve"> 工业企业噪声源强调查清单（室外声源）</w:t>
            </w:r>
          </w:p>
          <w:tbl>
            <w:tblPr>
              <w:tblStyle w:val="15"/>
              <w:tblW w:w="499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4"/>
              <w:gridCol w:w="390"/>
              <w:gridCol w:w="609"/>
              <w:gridCol w:w="716"/>
              <w:gridCol w:w="562"/>
              <w:gridCol w:w="2766"/>
              <w:gridCol w:w="1404"/>
              <w:gridCol w:w="808"/>
            </w:tblGrid>
            <w:tr w14:paraId="72EFF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75" w:type="dxa"/>
                  <w:vMerge w:val="restart"/>
                  <w:tcBorders>
                    <w:tl2br w:val="nil"/>
                    <w:tr2bl w:val="nil"/>
                  </w:tcBorders>
                  <w:vAlign w:val="center"/>
                </w:tcPr>
                <w:p w14:paraId="073C0693">
                  <w:pPr>
                    <w:pStyle w:val="49"/>
                    <w:rPr>
                      <w:color w:val="auto"/>
                    </w:rPr>
                  </w:pPr>
                  <w:r>
                    <w:rPr>
                      <w:color w:val="auto"/>
                    </w:rPr>
                    <w:t>声源名称</w:t>
                  </w:r>
                </w:p>
              </w:tc>
              <w:tc>
                <w:tcPr>
                  <w:tcW w:w="390" w:type="dxa"/>
                  <w:vMerge w:val="restart"/>
                  <w:tcBorders>
                    <w:tl2br w:val="nil"/>
                    <w:tr2bl w:val="nil"/>
                  </w:tcBorders>
                  <w:vAlign w:val="center"/>
                </w:tcPr>
                <w:p w14:paraId="60E722AB">
                  <w:pPr>
                    <w:pStyle w:val="49"/>
                    <w:rPr>
                      <w:color w:val="auto"/>
                    </w:rPr>
                  </w:pPr>
                  <w:r>
                    <w:rPr>
                      <w:color w:val="auto"/>
                    </w:rPr>
                    <w:t>型号</w:t>
                  </w:r>
                </w:p>
              </w:tc>
              <w:tc>
                <w:tcPr>
                  <w:tcW w:w="1887" w:type="dxa"/>
                  <w:gridSpan w:val="3"/>
                  <w:tcBorders>
                    <w:tl2br w:val="nil"/>
                    <w:tr2bl w:val="nil"/>
                  </w:tcBorders>
                  <w:vAlign w:val="center"/>
                </w:tcPr>
                <w:p w14:paraId="0491EC26">
                  <w:pPr>
                    <w:pStyle w:val="49"/>
                    <w:rPr>
                      <w:color w:val="auto"/>
                    </w:rPr>
                  </w:pPr>
                  <w:r>
                    <w:rPr>
                      <w:color w:val="auto"/>
                    </w:rPr>
                    <w:t>空间相对位置/m</w:t>
                  </w:r>
                </w:p>
              </w:tc>
              <w:tc>
                <w:tcPr>
                  <w:tcW w:w="2767" w:type="dxa"/>
                  <w:vMerge w:val="restart"/>
                  <w:tcBorders>
                    <w:tl2br w:val="nil"/>
                    <w:tr2bl w:val="nil"/>
                  </w:tcBorders>
                  <w:vAlign w:val="center"/>
                </w:tcPr>
                <w:p w14:paraId="7263DB4F">
                  <w:pPr>
                    <w:pStyle w:val="49"/>
                    <w:rPr>
                      <w:color w:val="auto"/>
                    </w:rPr>
                  </w:pPr>
                  <w:r>
                    <w:rPr>
                      <w:color w:val="auto"/>
                    </w:rPr>
                    <w:t>声压级/dB(A)</w:t>
                  </w:r>
                </w:p>
              </w:tc>
              <w:tc>
                <w:tcPr>
                  <w:tcW w:w="1404" w:type="dxa"/>
                  <w:vMerge w:val="restart"/>
                  <w:tcBorders>
                    <w:tl2br w:val="nil"/>
                    <w:tr2bl w:val="nil"/>
                  </w:tcBorders>
                  <w:vAlign w:val="center"/>
                </w:tcPr>
                <w:p w14:paraId="2514B66F">
                  <w:pPr>
                    <w:pStyle w:val="49"/>
                    <w:rPr>
                      <w:color w:val="auto"/>
                    </w:rPr>
                  </w:pPr>
                  <w:r>
                    <w:rPr>
                      <w:color w:val="auto"/>
                    </w:rPr>
                    <w:t>声源控制措施</w:t>
                  </w:r>
                </w:p>
              </w:tc>
              <w:tc>
                <w:tcPr>
                  <w:tcW w:w="808" w:type="dxa"/>
                  <w:vMerge w:val="restart"/>
                  <w:tcBorders>
                    <w:tl2br w:val="nil"/>
                    <w:tr2bl w:val="nil"/>
                  </w:tcBorders>
                  <w:vAlign w:val="center"/>
                </w:tcPr>
                <w:p w14:paraId="5EE88AB0">
                  <w:pPr>
                    <w:pStyle w:val="49"/>
                    <w:rPr>
                      <w:color w:val="auto"/>
                    </w:rPr>
                  </w:pPr>
                  <w:r>
                    <w:rPr>
                      <w:color w:val="auto"/>
                    </w:rPr>
                    <w:t>运行</w:t>
                  </w:r>
                </w:p>
                <w:p w14:paraId="0ADBFFC7">
                  <w:pPr>
                    <w:pStyle w:val="49"/>
                    <w:rPr>
                      <w:color w:val="auto"/>
                    </w:rPr>
                  </w:pPr>
                  <w:r>
                    <w:rPr>
                      <w:color w:val="auto"/>
                    </w:rPr>
                    <w:t>时段</w:t>
                  </w:r>
                </w:p>
              </w:tc>
            </w:tr>
            <w:tr w14:paraId="78B00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75" w:type="dxa"/>
                  <w:vMerge w:val="continue"/>
                  <w:tcBorders>
                    <w:tl2br w:val="nil"/>
                    <w:tr2bl w:val="nil"/>
                  </w:tcBorders>
                  <w:vAlign w:val="center"/>
                </w:tcPr>
                <w:p w14:paraId="565D6E12">
                  <w:pPr>
                    <w:rPr>
                      <w:color w:val="auto"/>
                      <w:lang w:eastAsia="en-US"/>
                    </w:rPr>
                  </w:pPr>
                </w:p>
              </w:tc>
              <w:tc>
                <w:tcPr>
                  <w:tcW w:w="390" w:type="dxa"/>
                  <w:vMerge w:val="continue"/>
                  <w:tcBorders>
                    <w:tl2br w:val="nil"/>
                    <w:tr2bl w:val="nil"/>
                  </w:tcBorders>
                  <w:vAlign w:val="center"/>
                </w:tcPr>
                <w:p w14:paraId="4984E929">
                  <w:pPr>
                    <w:rPr>
                      <w:color w:val="auto"/>
                      <w:lang w:eastAsia="en-US"/>
                    </w:rPr>
                  </w:pPr>
                </w:p>
              </w:tc>
              <w:tc>
                <w:tcPr>
                  <w:tcW w:w="609" w:type="dxa"/>
                  <w:tcBorders>
                    <w:tl2br w:val="nil"/>
                    <w:tr2bl w:val="nil"/>
                  </w:tcBorders>
                  <w:vAlign w:val="center"/>
                </w:tcPr>
                <w:p w14:paraId="05E309F4">
                  <w:pPr>
                    <w:pStyle w:val="49"/>
                    <w:rPr>
                      <w:color w:val="auto"/>
                    </w:rPr>
                  </w:pPr>
                  <w:r>
                    <w:rPr>
                      <w:color w:val="auto"/>
                    </w:rPr>
                    <w:t>X</w:t>
                  </w:r>
                </w:p>
              </w:tc>
              <w:tc>
                <w:tcPr>
                  <w:tcW w:w="716" w:type="dxa"/>
                  <w:tcBorders>
                    <w:tl2br w:val="nil"/>
                    <w:tr2bl w:val="nil"/>
                  </w:tcBorders>
                  <w:vAlign w:val="center"/>
                </w:tcPr>
                <w:p w14:paraId="297184F5">
                  <w:pPr>
                    <w:pStyle w:val="49"/>
                    <w:rPr>
                      <w:color w:val="auto"/>
                    </w:rPr>
                  </w:pPr>
                  <w:r>
                    <w:rPr>
                      <w:color w:val="auto"/>
                    </w:rPr>
                    <w:t>Y</w:t>
                  </w:r>
                </w:p>
              </w:tc>
              <w:tc>
                <w:tcPr>
                  <w:tcW w:w="562" w:type="dxa"/>
                  <w:tcBorders>
                    <w:tl2br w:val="nil"/>
                    <w:tr2bl w:val="nil"/>
                  </w:tcBorders>
                  <w:vAlign w:val="center"/>
                </w:tcPr>
                <w:p w14:paraId="451301D0">
                  <w:pPr>
                    <w:pStyle w:val="49"/>
                    <w:rPr>
                      <w:color w:val="auto"/>
                    </w:rPr>
                  </w:pPr>
                  <w:r>
                    <w:rPr>
                      <w:color w:val="auto"/>
                    </w:rPr>
                    <w:t>Z</w:t>
                  </w:r>
                </w:p>
              </w:tc>
              <w:tc>
                <w:tcPr>
                  <w:tcW w:w="2767" w:type="dxa"/>
                  <w:vMerge w:val="continue"/>
                  <w:tcBorders>
                    <w:tl2br w:val="nil"/>
                    <w:tr2bl w:val="nil"/>
                  </w:tcBorders>
                  <w:vAlign w:val="center"/>
                </w:tcPr>
                <w:p w14:paraId="45B86FA5">
                  <w:pPr>
                    <w:rPr>
                      <w:color w:val="auto"/>
                      <w:lang w:eastAsia="en-US"/>
                    </w:rPr>
                  </w:pPr>
                </w:p>
              </w:tc>
              <w:tc>
                <w:tcPr>
                  <w:tcW w:w="1404" w:type="dxa"/>
                  <w:vMerge w:val="continue"/>
                  <w:tcBorders>
                    <w:tl2br w:val="nil"/>
                    <w:tr2bl w:val="nil"/>
                  </w:tcBorders>
                  <w:vAlign w:val="center"/>
                </w:tcPr>
                <w:p w14:paraId="67FB1C43">
                  <w:pPr>
                    <w:rPr>
                      <w:color w:val="auto"/>
                      <w:lang w:eastAsia="en-US"/>
                    </w:rPr>
                  </w:pPr>
                </w:p>
              </w:tc>
              <w:tc>
                <w:tcPr>
                  <w:tcW w:w="808" w:type="dxa"/>
                  <w:vMerge w:val="continue"/>
                  <w:tcBorders>
                    <w:tl2br w:val="nil"/>
                    <w:tr2bl w:val="nil"/>
                  </w:tcBorders>
                  <w:vAlign w:val="center"/>
                </w:tcPr>
                <w:p w14:paraId="09736BA0">
                  <w:pPr>
                    <w:rPr>
                      <w:color w:val="auto"/>
                    </w:rPr>
                  </w:pPr>
                </w:p>
              </w:tc>
            </w:tr>
            <w:tr w14:paraId="0B5E5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75" w:type="dxa"/>
                  <w:tcBorders>
                    <w:tl2br w:val="nil"/>
                    <w:tr2bl w:val="nil"/>
                  </w:tcBorders>
                  <w:vAlign w:val="center"/>
                </w:tcPr>
                <w:p w14:paraId="1F53CF1D">
                  <w:pPr>
                    <w:pStyle w:val="51"/>
                    <w:rPr>
                      <w:color w:val="auto"/>
                    </w:rPr>
                  </w:pPr>
                  <w:r>
                    <w:rPr>
                      <w:rFonts w:hint="eastAsia"/>
                      <w:color w:val="auto"/>
                    </w:rPr>
                    <w:t>风机</w:t>
                  </w:r>
                </w:p>
              </w:tc>
              <w:tc>
                <w:tcPr>
                  <w:tcW w:w="390" w:type="dxa"/>
                  <w:tcBorders>
                    <w:tl2br w:val="nil"/>
                    <w:tr2bl w:val="nil"/>
                  </w:tcBorders>
                  <w:vAlign w:val="center"/>
                </w:tcPr>
                <w:p w14:paraId="04E7EB3F">
                  <w:pPr>
                    <w:pStyle w:val="51"/>
                    <w:rPr>
                      <w:color w:val="auto"/>
                    </w:rPr>
                  </w:pPr>
                  <w:r>
                    <w:rPr>
                      <w:color w:val="auto"/>
                    </w:rPr>
                    <w:t>/</w:t>
                  </w:r>
                </w:p>
              </w:tc>
              <w:tc>
                <w:tcPr>
                  <w:tcW w:w="609" w:type="dxa"/>
                  <w:tcBorders>
                    <w:tl2br w:val="nil"/>
                    <w:tr2bl w:val="nil"/>
                  </w:tcBorders>
                  <w:shd w:val="clear" w:color="auto" w:fill="auto"/>
                  <w:vAlign w:val="center"/>
                </w:tcPr>
                <w:p w14:paraId="5769F984">
                  <w:pPr>
                    <w:pStyle w:val="51"/>
                    <w:rPr>
                      <w:color w:val="auto"/>
                    </w:rPr>
                  </w:pPr>
                  <w:r>
                    <w:rPr>
                      <w:rFonts w:hint="eastAsia"/>
                      <w:color w:val="auto"/>
                    </w:rPr>
                    <w:t>151</w:t>
                  </w:r>
                </w:p>
              </w:tc>
              <w:tc>
                <w:tcPr>
                  <w:tcW w:w="716" w:type="dxa"/>
                  <w:tcBorders>
                    <w:tl2br w:val="nil"/>
                    <w:tr2bl w:val="nil"/>
                  </w:tcBorders>
                  <w:shd w:val="clear" w:color="auto" w:fill="auto"/>
                  <w:vAlign w:val="center"/>
                </w:tcPr>
                <w:p w14:paraId="41673581">
                  <w:pPr>
                    <w:pStyle w:val="51"/>
                    <w:rPr>
                      <w:color w:val="auto"/>
                    </w:rPr>
                  </w:pPr>
                  <w:r>
                    <w:rPr>
                      <w:rFonts w:hint="eastAsia"/>
                      <w:color w:val="auto"/>
                    </w:rPr>
                    <w:t>23</w:t>
                  </w:r>
                </w:p>
              </w:tc>
              <w:tc>
                <w:tcPr>
                  <w:tcW w:w="562" w:type="dxa"/>
                  <w:tcBorders>
                    <w:tl2br w:val="nil"/>
                    <w:tr2bl w:val="nil"/>
                  </w:tcBorders>
                  <w:vAlign w:val="center"/>
                </w:tcPr>
                <w:p w14:paraId="66BF093C">
                  <w:pPr>
                    <w:pStyle w:val="51"/>
                    <w:rPr>
                      <w:color w:val="auto"/>
                    </w:rPr>
                  </w:pPr>
                  <w:r>
                    <w:rPr>
                      <w:color w:val="auto"/>
                    </w:rPr>
                    <w:t>1</w:t>
                  </w:r>
                </w:p>
              </w:tc>
              <w:tc>
                <w:tcPr>
                  <w:tcW w:w="2767" w:type="dxa"/>
                  <w:tcBorders>
                    <w:tl2br w:val="nil"/>
                    <w:tr2bl w:val="nil"/>
                  </w:tcBorders>
                  <w:vAlign w:val="center"/>
                </w:tcPr>
                <w:p w14:paraId="6695C0AD">
                  <w:pPr>
                    <w:pStyle w:val="51"/>
                    <w:rPr>
                      <w:color w:val="auto"/>
                    </w:rPr>
                  </w:pPr>
                  <w:r>
                    <w:rPr>
                      <w:rFonts w:hint="eastAsia"/>
                      <w:color w:val="auto"/>
                    </w:rPr>
                    <w:t>75</w:t>
                  </w:r>
                  <w:r>
                    <w:rPr>
                      <w:color w:val="auto"/>
                    </w:rPr>
                    <w:t>（点声源组等效后</w:t>
                  </w:r>
                  <w:r>
                    <w:rPr>
                      <w:rFonts w:hint="eastAsia"/>
                      <w:color w:val="auto"/>
                    </w:rPr>
                    <w:t>81.0</w:t>
                  </w:r>
                  <w:r>
                    <w:rPr>
                      <w:color w:val="auto"/>
                    </w:rPr>
                    <w:t>）</w:t>
                  </w:r>
                </w:p>
              </w:tc>
              <w:tc>
                <w:tcPr>
                  <w:tcW w:w="1404" w:type="dxa"/>
                  <w:vMerge w:val="restart"/>
                  <w:tcBorders>
                    <w:tl2br w:val="nil"/>
                    <w:tr2bl w:val="nil"/>
                  </w:tcBorders>
                  <w:vAlign w:val="center"/>
                </w:tcPr>
                <w:p w14:paraId="22607683">
                  <w:pPr>
                    <w:pStyle w:val="51"/>
                    <w:rPr>
                      <w:color w:val="auto"/>
                    </w:rPr>
                  </w:pPr>
                  <w:r>
                    <w:rPr>
                      <w:color w:val="auto"/>
                    </w:rPr>
                    <w:t>选用低噪声设备、减振、绿化隔声</w:t>
                  </w:r>
                </w:p>
              </w:tc>
              <w:tc>
                <w:tcPr>
                  <w:tcW w:w="808" w:type="dxa"/>
                  <w:vMerge w:val="restart"/>
                  <w:tcBorders>
                    <w:tl2br w:val="nil"/>
                    <w:tr2bl w:val="nil"/>
                  </w:tcBorders>
                  <w:vAlign w:val="center"/>
                </w:tcPr>
                <w:p w14:paraId="5F12B404">
                  <w:pPr>
                    <w:pStyle w:val="51"/>
                    <w:rPr>
                      <w:color w:val="auto"/>
                    </w:rPr>
                  </w:pPr>
                  <w:r>
                    <w:rPr>
                      <w:color w:val="auto"/>
                    </w:rPr>
                    <w:t>工作时间段</w:t>
                  </w:r>
                </w:p>
              </w:tc>
            </w:tr>
            <w:tr w14:paraId="0E3B3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75" w:type="dxa"/>
                  <w:tcBorders>
                    <w:tl2br w:val="nil"/>
                    <w:tr2bl w:val="nil"/>
                  </w:tcBorders>
                  <w:vAlign w:val="center"/>
                </w:tcPr>
                <w:p w14:paraId="268DD18C">
                  <w:pPr>
                    <w:pStyle w:val="51"/>
                    <w:rPr>
                      <w:color w:val="auto"/>
                    </w:rPr>
                  </w:pPr>
                  <w:r>
                    <w:rPr>
                      <w:rFonts w:hint="eastAsia"/>
                      <w:color w:val="auto"/>
                    </w:rPr>
                    <w:t>污水站水泵</w:t>
                  </w:r>
                </w:p>
              </w:tc>
              <w:tc>
                <w:tcPr>
                  <w:tcW w:w="390" w:type="dxa"/>
                  <w:tcBorders>
                    <w:tl2br w:val="nil"/>
                    <w:tr2bl w:val="nil"/>
                  </w:tcBorders>
                  <w:vAlign w:val="center"/>
                </w:tcPr>
                <w:p w14:paraId="250702C6">
                  <w:pPr>
                    <w:pStyle w:val="51"/>
                    <w:rPr>
                      <w:color w:val="auto"/>
                    </w:rPr>
                  </w:pPr>
                  <w:r>
                    <w:rPr>
                      <w:color w:val="auto"/>
                    </w:rPr>
                    <w:t>/</w:t>
                  </w:r>
                </w:p>
              </w:tc>
              <w:tc>
                <w:tcPr>
                  <w:tcW w:w="609" w:type="dxa"/>
                  <w:tcBorders>
                    <w:tl2br w:val="nil"/>
                    <w:tr2bl w:val="nil"/>
                  </w:tcBorders>
                  <w:shd w:val="clear" w:color="auto" w:fill="auto"/>
                  <w:vAlign w:val="center"/>
                </w:tcPr>
                <w:p w14:paraId="563A604C">
                  <w:pPr>
                    <w:pStyle w:val="51"/>
                    <w:rPr>
                      <w:color w:val="auto"/>
                    </w:rPr>
                  </w:pPr>
                  <w:r>
                    <w:rPr>
                      <w:rFonts w:hint="eastAsia"/>
                      <w:color w:val="auto"/>
                    </w:rPr>
                    <w:t>63</w:t>
                  </w:r>
                </w:p>
              </w:tc>
              <w:tc>
                <w:tcPr>
                  <w:tcW w:w="716" w:type="dxa"/>
                  <w:tcBorders>
                    <w:tl2br w:val="nil"/>
                    <w:tr2bl w:val="nil"/>
                  </w:tcBorders>
                  <w:shd w:val="clear" w:color="auto" w:fill="auto"/>
                  <w:vAlign w:val="center"/>
                </w:tcPr>
                <w:p w14:paraId="2B5D994E">
                  <w:pPr>
                    <w:pStyle w:val="51"/>
                    <w:rPr>
                      <w:color w:val="auto"/>
                    </w:rPr>
                  </w:pPr>
                  <w:r>
                    <w:rPr>
                      <w:rFonts w:hint="eastAsia"/>
                      <w:color w:val="auto"/>
                    </w:rPr>
                    <w:t>46</w:t>
                  </w:r>
                </w:p>
              </w:tc>
              <w:tc>
                <w:tcPr>
                  <w:tcW w:w="562" w:type="dxa"/>
                  <w:tcBorders>
                    <w:tl2br w:val="nil"/>
                    <w:tr2bl w:val="nil"/>
                  </w:tcBorders>
                  <w:vAlign w:val="center"/>
                </w:tcPr>
                <w:p w14:paraId="34F990C7">
                  <w:pPr>
                    <w:pStyle w:val="51"/>
                    <w:rPr>
                      <w:color w:val="auto"/>
                    </w:rPr>
                  </w:pPr>
                  <w:r>
                    <w:rPr>
                      <w:color w:val="auto"/>
                    </w:rPr>
                    <w:t>1</w:t>
                  </w:r>
                </w:p>
              </w:tc>
              <w:tc>
                <w:tcPr>
                  <w:tcW w:w="2767" w:type="dxa"/>
                  <w:tcBorders>
                    <w:tl2br w:val="nil"/>
                    <w:tr2bl w:val="nil"/>
                  </w:tcBorders>
                  <w:vAlign w:val="center"/>
                </w:tcPr>
                <w:p w14:paraId="10ACC182">
                  <w:pPr>
                    <w:pStyle w:val="51"/>
                    <w:rPr>
                      <w:color w:val="auto"/>
                    </w:rPr>
                  </w:pPr>
                  <w:r>
                    <w:rPr>
                      <w:rFonts w:hint="eastAsia"/>
                      <w:color w:val="auto"/>
                    </w:rPr>
                    <w:t>80</w:t>
                  </w:r>
                  <w:r>
                    <w:rPr>
                      <w:color w:val="auto"/>
                    </w:rPr>
                    <w:t>（点声源组等效后</w:t>
                  </w:r>
                  <w:r>
                    <w:rPr>
                      <w:rFonts w:hint="eastAsia"/>
                      <w:color w:val="auto"/>
                    </w:rPr>
                    <w:t>80.0</w:t>
                  </w:r>
                  <w:r>
                    <w:rPr>
                      <w:color w:val="auto"/>
                    </w:rPr>
                    <w:t>）</w:t>
                  </w:r>
                </w:p>
              </w:tc>
              <w:tc>
                <w:tcPr>
                  <w:tcW w:w="1404" w:type="dxa"/>
                  <w:vMerge w:val="continue"/>
                  <w:tcBorders>
                    <w:tl2br w:val="nil"/>
                    <w:tr2bl w:val="nil"/>
                  </w:tcBorders>
                  <w:vAlign w:val="center"/>
                </w:tcPr>
                <w:p w14:paraId="248C3604">
                  <w:pPr>
                    <w:rPr>
                      <w:color w:val="auto"/>
                    </w:rPr>
                  </w:pPr>
                </w:p>
              </w:tc>
              <w:tc>
                <w:tcPr>
                  <w:tcW w:w="808" w:type="dxa"/>
                  <w:vMerge w:val="continue"/>
                  <w:tcBorders>
                    <w:tl2br w:val="nil"/>
                    <w:tr2bl w:val="nil"/>
                  </w:tcBorders>
                  <w:vAlign w:val="center"/>
                </w:tcPr>
                <w:p w14:paraId="64C070C2">
                  <w:pPr>
                    <w:rPr>
                      <w:color w:val="auto"/>
                    </w:rPr>
                  </w:pPr>
                </w:p>
              </w:tc>
            </w:tr>
            <w:tr w14:paraId="6A7DB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75" w:type="dxa"/>
                  <w:tcBorders>
                    <w:tl2br w:val="nil"/>
                    <w:tr2bl w:val="nil"/>
                  </w:tcBorders>
                  <w:vAlign w:val="center"/>
                </w:tcPr>
                <w:p w14:paraId="74D59111">
                  <w:pPr>
                    <w:pStyle w:val="51"/>
                    <w:rPr>
                      <w:color w:val="auto"/>
                    </w:rPr>
                  </w:pPr>
                  <w:r>
                    <w:rPr>
                      <w:rFonts w:hint="eastAsia"/>
                      <w:color w:val="auto"/>
                    </w:rPr>
                    <w:t>空压机</w:t>
                  </w:r>
                </w:p>
              </w:tc>
              <w:tc>
                <w:tcPr>
                  <w:tcW w:w="390" w:type="dxa"/>
                  <w:tcBorders>
                    <w:tl2br w:val="nil"/>
                    <w:tr2bl w:val="nil"/>
                  </w:tcBorders>
                  <w:vAlign w:val="center"/>
                </w:tcPr>
                <w:p w14:paraId="47EFD460">
                  <w:pPr>
                    <w:pStyle w:val="51"/>
                    <w:rPr>
                      <w:color w:val="auto"/>
                    </w:rPr>
                  </w:pPr>
                  <w:r>
                    <w:rPr>
                      <w:rFonts w:hint="eastAsia"/>
                      <w:color w:val="auto"/>
                    </w:rPr>
                    <w:t>/</w:t>
                  </w:r>
                </w:p>
              </w:tc>
              <w:tc>
                <w:tcPr>
                  <w:tcW w:w="609" w:type="dxa"/>
                  <w:tcBorders>
                    <w:tl2br w:val="nil"/>
                    <w:tr2bl w:val="nil"/>
                  </w:tcBorders>
                  <w:shd w:val="clear" w:color="auto" w:fill="auto"/>
                  <w:vAlign w:val="center"/>
                </w:tcPr>
                <w:p w14:paraId="3DA0DB41">
                  <w:pPr>
                    <w:pStyle w:val="51"/>
                    <w:rPr>
                      <w:color w:val="auto"/>
                    </w:rPr>
                  </w:pPr>
                  <w:r>
                    <w:rPr>
                      <w:rFonts w:hint="eastAsia"/>
                      <w:color w:val="auto"/>
                    </w:rPr>
                    <w:t>90</w:t>
                  </w:r>
                </w:p>
              </w:tc>
              <w:tc>
                <w:tcPr>
                  <w:tcW w:w="716" w:type="dxa"/>
                  <w:tcBorders>
                    <w:tl2br w:val="nil"/>
                    <w:tr2bl w:val="nil"/>
                  </w:tcBorders>
                  <w:shd w:val="clear" w:color="auto" w:fill="auto"/>
                  <w:vAlign w:val="center"/>
                </w:tcPr>
                <w:p w14:paraId="1BDD20F9">
                  <w:pPr>
                    <w:pStyle w:val="51"/>
                    <w:rPr>
                      <w:color w:val="auto"/>
                    </w:rPr>
                  </w:pPr>
                  <w:r>
                    <w:rPr>
                      <w:rFonts w:hint="eastAsia"/>
                      <w:color w:val="auto"/>
                    </w:rPr>
                    <w:t>144</w:t>
                  </w:r>
                </w:p>
              </w:tc>
              <w:tc>
                <w:tcPr>
                  <w:tcW w:w="562" w:type="dxa"/>
                  <w:tcBorders>
                    <w:tl2br w:val="nil"/>
                    <w:tr2bl w:val="nil"/>
                  </w:tcBorders>
                  <w:vAlign w:val="center"/>
                </w:tcPr>
                <w:p w14:paraId="73ECD6F4">
                  <w:pPr>
                    <w:pStyle w:val="51"/>
                    <w:rPr>
                      <w:color w:val="auto"/>
                    </w:rPr>
                  </w:pPr>
                  <w:r>
                    <w:rPr>
                      <w:rFonts w:hint="eastAsia"/>
                      <w:color w:val="auto"/>
                    </w:rPr>
                    <w:t>1</w:t>
                  </w:r>
                </w:p>
              </w:tc>
              <w:tc>
                <w:tcPr>
                  <w:tcW w:w="2767" w:type="dxa"/>
                  <w:tcBorders>
                    <w:tl2br w:val="nil"/>
                    <w:tr2bl w:val="nil"/>
                  </w:tcBorders>
                  <w:vAlign w:val="center"/>
                </w:tcPr>
                <w:p w14:paraId="6EF4DB63">
                  <w:pPr>
                    <w:pStyle w:val="51"/>
                    <w:rPr>
                      <w:color w:val="auto"/>
                    </w:rPr>
                  </w:pPr>
                  <w:r>
                    <w:rPr>
                      <w:rFonts w:hint="eastAsia"/>
                      <w:color w:val="auto"/>
                    </w:rPr>
                    <w:t>75</w:t>
                  </w:r>
                  <w:r>
                    <w:rPr>
                      <w:color w:val="auto"/>
                    </w:rPr>
                    <w:t>（点声源组等效后</w:t>
                  </w:r>
                  <w:r>
                    <w:rPr>
                      <w:rFonts w:hint="eastAsia"/>
                      <w:color w:val="auto"/>
                    </w:rPr>
                    <w:t>82.0</w:t>
                  </w:r>
                  <w:r>
                    <w:rPr>
                      <w:color w:val="auto"/>
                    </w:rPr>
                    <w:t>）</w:t>
                  </w:r>
                </w:p>
              </w:tc>
              <w:tc>
                <w:tcPr>
                  <w:tcW w:w="1404" w:type="dxa"/>
                  <w:vMerge w:val="continue"/>
                  <w:tcBorders>
                    <w:tl2br w:val="nil"/>
                    <w:tr2bl w:val="nil"/>
                  </w:tcBorders>
                  <w:vAlign w:val="center"/>
                </w:tcPr>
                <w:p w14:paraId="61170F59">
                  <w:pPr>
                    <w:rPr>
                      <w:color w:val="auto"/>
                    </w:rPr>
                  </w:pPr>
                </w:p>
              </w:tc>
              <w:tc>
                <w:tcPr>
                  <w:tcW w:w="808" w:type="dxa"/>
                  <w:vMerge w:val="continue"/>
                  <w:tcBorders>
                    <w:tl2br w:val="nil"/>
                    <w:tr2bl w:val="nil"/>
                  </w:tcBorders>
                  <w:vAlign w:val="center"/>
                </w:tcPr>
                <w:p w14:paraId="08AF11C4">
                  <w:pPr>
                    <w:rPr>
                      <w:color w:val="auto"/>
                    </w:rPr>
                  </w:pPr>
                </w:p>
              </w:tc>
            </w:tr>
          </w:tbl>
          <w:p w14:paraId="78CE51CD">
            <w:pPr>
              <w:pStyle w:val="47"/>
              <w:ind w:firstLine="0" w:firstLineChars="0"/>
              <w:rPr>
                <w:color w:val="auto"/>
              </w:rPr>
            </w:pPr>
          </w:p>
          <w:p w14:paraId="4E6F0AF3">
            <w:pPr>
              <w:pStyle w:val="47"/>
              <w:ind w:firstLine="0" w:firstLineChars="0"/>
              <w:rPr>
                <w:color w:val="auto"/>
              </w:rPr>
            </w:pPr>
          </w:p>
          <w:p w14:paraId="44919BA7">
            <w:pPr>
              <w:pStyle w:val="47"/>
              <w:ind w:firstLine="0" w:firstLineChars="0"/>
              <w:rPr>
                <w:color w:val="auto"/>
              </w:rPr>
            </w:pPr>
          </w:p>
          <w:p w14:paraId="6B3F2D67">
            <w:pPr>
              <w:pStyle w:val="47"/>
              <w:ind w:firstLine="0" w:firstLineChars="0"/>
              <w:rPr>
                <w:color w:val="auto"/>
              </w:rPr>
            </w:pPr>
          </w:p>
          <w:p w14:paraId="1698BB01">
            <w:pPr>
              <w:pStyle w:val="47"/>
              <w:ind w:firstLine="0" w:firstLineChars="0"/>
              <w:rPr>
                <w:color w:val="auto"/>
              </w:rPr>
            </w:pPr>
          </w:p>
          <w:p w14:paraId="57D42A11">
            <w:pPr>
              <w:pStyle w:val="47"/>
              <w:ind w:firstLine="0" w:firstLineChars="0"/>
              <w:rPr>
                <w:color w:val="auto"/>
              </w:rPr>
            </w:pPr>
          </w:p>
          <w:p w14:paraId="7E130A42">
            <w:pPr>
              <w:pStyle w:val="47"/>
              <w:ind w:firstLine="0" w:firstLineChars="0"/>
              <w:rPr>
                <w:color w:val="auto"/>
              </w:rPr>
            </w:pPr>
          </w:p>
          <w:p w14:paraId="614391BA">
            <w:pPr>
              <w:pStyle w:val="47"/>
              <w:ind w:firstLine="0" w:firstLineChars="0"/>
              <w:rPr>
                <w:color w:val="auto"/>
              </w:rPr>
            </w:pPr>
          </w:p>
          <w:p w14:paraId="53E35C5F">
            <w:pPr>
              <w:pStyle w:val="47"/>
              <w:ind w:firstLine="0" w:firstLineChars="0"/>
              <w:rPr>
                <w:color w:val="auto"/>
              </w:rPr>
            </w:pPr>
          </w:p>
          <w:p w14:paraId="5290464B">
            <w:pPr>
              <w:pStyle w:val="47"/>
              <w:ind w:firstLine="0" w:firstLineChars="0"/>
              <w:rPr>
                <w:color w:val="auto"/>
              </w:rPr>
            </w:pPr>
          </w:p>
          <w:p w14:paraId="100D3209">
            <w:pPr>
              <w:pStyle w:val="47"/>
              <w:ind w:firstLine="0" w:firstLineChars="0"/>
              <w:rPr>
                <w:color w:val="auto"/>
              </w:rPr>
            </w:pPr>
          </w:p>
          <w:p w14:paraId="4D955E70">
            <w:pPr>
              <w:pStyle w:val="47"/>
              <w:ind w:firstLine="0" w:firstLineChars="0"/>
              <w:rPr>
                <w:color w:val="auto"/>
              </w:rPr>
            </w:pPr>
          </w:p>
          <w:p w14:paraId="2DF246A3">
            <w:pPr>
              <w:pStyle w:val="51"/>
              <w:rPr>
                <w:color w:val="auto"/>
              </w:rPr>
            </w:pPr>
          </w:p>
          <w:p w14:paraId="66E4CB31">
            <w:pPr>
              <w:pStyle w:val="51"/>
              <w:rPr>
                <w:color w:val="auto"/>
              </w:rPr>
            </w:pPr>
          </w:p>
        </w:tc>
      </w:tr>
    </w:tbl>
    <w:p w14:paraId="3230DD25">
      <w:pPr>
        <w:pStyle w:val="51"/>
        <w:rPr>
          <w:color w:val="auto"/>
        </w:rPr>
        <w:sectPr>
          <w:pgSz w:w="11906" w:h="16838"/>
          <w:pgMar w:top="1701" w:right="1417" w:bottom="1701" w:left="1417" w:header="851" w:footer="851" w:gutter="0"/>
          <w:cols w:space="720" w:num="1"/>
          <w:docGrid w:linePitch="312" w:charSpace="0"/>
        </w:sectPr>
      </w:pPr>
    </w:p>
    <w:tbl>
      <w:tblPr>
        <w:tblStyle w:val="15"/>
        <w:tblW w:w="5255" w:type="pct"/>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3565"/>
      </w:tblGrid>
      <w:tr w14:paraId="4BB1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0" w:hRule="atLeast"/>
        </w:trPr>
        <w:tc>
          <w:tcPr>
            <w:tcW w:w="273" w:type="pct"/>
            <w:vAlign w:val="center"/>
          </w:tcPr>
          <w:p w14:paraId="3BD206D6">
            <w:pPr>
              <w:jc w:val="center"/>
              <w:rPr>
                <w:rFonts w:eastAsia="黑体"/>
                <w:snapToGrid w:val="0"/>
                <w:color w:val="auto"/>
                <w:sz w:val="36"/>
                <w:szCs w:val="36"/>
              </w:rPr>
            </w:pPr>
            <w:r>
              <w:rPr>
                <w:color w:val="auto"/>
                <w:sz w:val="24"/>
                <w:szCs w:val="24"/>
              </w:rPr>
              <w:t>运营期环境影响和保护措施</w:t>
            </w:r>
          </w:p>
        </w:tc>
        <w:tc>
          <w:tcPr>
            <w:tcW w:w="4726" w:type="pct"/>
          </w:tcPr>
          <w:p w14:paraId="45CD352C">
            <w:pPr>
              <w:pStyle w:val="7"/>
              <w:rPr>
                <w:color w:val="auto"/>
                <w:szCs w:val="24"/>
              </w:rPr>
            </w:pPr>
            <w:bookmarkStart w:id="73" w:name="_Ref24169"/>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16</w:t>
            </w:r>
            <w:r>
              <w:rPr>
                <w:color w:val="auto"/>
              </w:rPr>
              <w:fldChar w:fldCharType="end"/>
            </w:r>
            <w:bookmarkEnd w:id="73"/>
            <w:r>
              <w:rPr>
                <w:color w:val="auto"/>
              </w:rPr>
              <w:t xml:space="preserve"> </w:t>
            </w:r>
            <w:r>
              <w:rPr>
                <w:color w:val="auto"/>
                <w:szCs w:val="24"/>
              </w:rPr>
              <w:t>工业企业噪声源强调查清单（室内声源）</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1"/>
              <w:gridCol w:w="743"/>
              <w:gridCol w:w="705"/>
              <w:gridCol w:w="545"/>
              <w:gridCol w:w="1330"/>
              <w:gridCol w:w="817"/>
              <w:gridCol w:w="399"/>
              <w:gridCol w:w="398"/>
              <w:gridCol w:w="406"/>
              <w:gridCol w:w="422"/>
              <w:gridCol w:w="422"/>
              <w:gridCol w:w="422"/>
              <w:gridCol w:w="435"/>
              <w:gridCol w:w="555"/>
              <w:gridCol w:w="555"/>
              <w:gridCol w:w="555"/>
              <w:gridCol w:w="558"/>
              <w:gridCol w:w="422"/>
              <w:gridCol w:w="667"/>
              <w:gridCol w:w="526"/>
              <w:gridCol w:w="526"/>
              <w:gridCol w:w="526"/>
              <w:gridCol w:w="542"/>
              <w:gridCol w:w="502"/>
            </w:tblGrid>
            <w:tr w14:paraId="4232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5" w:type="pct"/>
                  <w:vMerge w:val="restart"/>
                  <w:tcBorders>
                    <w:tl2br w:val="nil"/>
                    <w:tr2bl w:val="nil"/>
                  </w:tcBorders>
                  <w:vAlign w:val="center"/>
                </w:tcPr>
                <w:p w14:paraId="77C4A383">
                  <w:pPr>
                    <w:pStyle w:val="49"/>
                    <w:rPr>
                      <w:color w:val="auto"/>
                    </w:rPr>
                  </w:pPr>
                  <w:r>
                    <w:rPr>
                      <w:color w:val="auto"/>
                    </w:rPr>
                    <w:t>序号</w:t>
                  </w:r>
                </w:p>
              </w:tc>
              <w:tc>
                <w:tcPr>
                  <w:tcW w:w="278" w:type="pct"/>
                  <w:vMerge w:val="restart"/>
                  <w:tcBorders>
                    <w:tl2br w:val="nil"/>
                    <w:tr2bl w:val="nil"/>
                  </w:tcBorders>
                  <w:vAlign w:val="center"/>
                </w:tcPr>
                <w:p w14:paraId="4B113FCA">
                  <w:pPr>
                    <w:pStyle w:val="49"/>
                    <w:rPr>
                      <w:color w:val="auto"/>
                    </w:rPr>
                  </w:pPr>
                  <w:r>
                    <w:rPr>
                      <w:color w:val="auto"/>
                    </w:rPr>
                    <w:t>建筑物名称</w:t>
                  </w:r>
                </w:p>
              </w:tc>
              <w:tc>
                <w:tcPr>
                  <w:tcW w:w="264" w:type="pct"/>
                  <w:vMerge w:val="restart"/>
                  <w:tcBorders>
                    <w:tl2br w:val="nil"/>
                    <w:tr2bl w:val="nil"/>
                  </w:tcBorders>
                  <w:vAlign w:val="center"/>
                </w:tcPr>
                <w:p w14:paraId="0A5E3568">
                  <w:pPr>
                    <w:pStyle w:val="49"/>
                    <w:rPr>
                      <w:color w:val="auto"/>
                    </w:rPr>
                  </w:pPr>
                  <w:r>
                    <w:rPr>
                      <w:color w:val="auto"/>
                    </w:rPr>
                    <w:t>声源</w:t>
                  </w:r>
                </w:p>
                <w:p w14:paraId="71C5866F">
                  <w:pPr>
                    <w:pStyle w:val="49"/>
                    <w:rPr>
                      <w:color w:val="auto"/>
                    </w:rPr>
                  </w:pPr>
                  <w:r>
                    <w:rPr>
                      <w:color w:val="auto"/>
                    </w:rPr>
                    <w:t>名称</w:t>
                  </w:r>
                </w:p>
              </w:tc>
              <w:tc>
                <w:tcPr>
                  <w:tcW w:w="204" w:type="pct"/>
                  <w:vMerge w:val="restart"/>
                  <w:tcBorders>
                    <w:tl2br w:val="nil"/>
                    <w:tr2bl w:val="nil"/>
                  </w:tcBorders>
                  <w:vAlign w:val="center"/>
                </w:tcPr>
                <w:p w14:paraId="133CCAAE">
                  <w:pPr>
                    <w:pStyle w:val="49"/>
                    <w:rPr>
                      <w:color w:val="auto"/>
                    </w:rPr>
                  </w:pPr>
                  <w:r>
                    <w:rPr>
                      <w:color w:val="auto"/>
                    </w:rPr>
                    <w:t>数量</w:t>
                  </w:r>
                </w:p>
                <w:p w14:paraId="1EDED49D">
                  <w:pPr>
                    <w:pStyle w:val="49"/>
                    <w:rPr>
                      <w:color w:val="auto"/>
                    </w:rPr>
                  </w:pPr>
                  <w:r>
                    <w:rPr>
                      <w:color w:val="auto"/>
                    </w:rPr>
                    <w:t>（台）</w:t>
                  </w:r>
                </w:p>
              </w:tc>
              <w:tc>
                <w:tcPr>
                  <w:tcW w:w="498" w:type="pct"/>
                  <w:vMerge w:val="restart"/>
                  <w:tcBorders>
                    <w:tl2br w:val="nil"/>
                    <w:tr2bl w:val="nil"/>
                  </w:tcBorders>
                  <w:vAlign w:val="center"/>
                </w:tcPr>
                <w:p w14:paraId="5755EF86">
                  <w:pPr>
                    <w:pStyle w:val="49"/>
                    <w:rPr>
                      <w:color w:val="auto"/>
                    </w:rPr>
                  </w:pPr>
                  <w:r>
                    <w:rPr>
                      <w:color w:val="auto"/>
                    </w:rPr>
                    <w:t>声压级</w:t>
                  </w:r>
                </w:p>
                <w:p w14:paraId="2FAB0189">
                  <w:pPr>
                    <w:pStyle w:val="49"/>
                    <w:rPr>
                      <w:color w:val="auto"/>
                    </w:rPr>
                  </w:pPr>
                  <w:r>
                    <w:rPr>
                      <w:color w:val="auto"/>
                    </w:rPr>
                    <w:t>/dB(A)</w:t>
                  </w:r>
                </w:p>
              </w:tc>
              <w:tc>
                <w:tcPr>
                  <w:tcW w:w="306" w:type="pct"/>
                  <w:vMerge w:val="restart"/>
                  <w:tcBorders>
                    <w:tl2br w:val="nil"/>
                    <w:tr2bl w:val="nil"/>
                  </w:tcBorders>
                  <w:vAlign w:val="center"/>
                </w:tcPr>
                <w:p w14:paraId="04CBDE19">
                  <w:pPr>
                    <w:pStyle w:val="49"/>
                    <w:rPr>
                      <w:color w:val="auto"/>
                    </w:rPr>
                  </w:pPr>
                  <w:r>
                    <w:rPr>
                      <w:color w:val="auto"/>
                    </w:rPr>
                    <w:t>声源控制措施</w:t>
                  </w:r>
                </w:p>
              </w:tc>
              <w:tc>
                <w:tcPr>
                  <w:tcW w:w="450" w:type="pct"/>
                  <w:gridSpan w:val="3"/>
                  <w:vMerge w:val="restart"/>
                  <w:tcBorders>
                    <w:tl2br w:val="nil"/>
                    <w:tr2bl w:val="nil"/>
                  </w:tcBorders>
                  <w:vAlign w:val="center"/>
                </w:tcPr>
                <w:p w14:paraId="2709A56B">
                  <w:pPr>
                    <w:pStyle w:val="49"/>
                    <w:rPr>
                      <w:color w:val="auto"/>
                    </w:rPr>
                  </w:pPr>
                  <w:r>
                    <w:rPr>
                      <w:color w:val="auto"/>
                    </w:rPr>
                    <w:t>空间相对位置（m）</w:t>
                  </w:r>
                </w:p>
              </w:tc>
              <w:tc>
                <w:tcPr>
                  <w:tcW w:w="637" w:type="pct"/>
                  <w:gridSpan w:val="4"/>
                  <w:vMerge w:val="restart"/>
                  <w:tcBorders>
                    <w:tl2br w:val="nil"/>
                    <w:tr2bl w:val="nil"/>
                  </w:tcBorders>
                  <w:vAlign w:val="center"/>
                </w:tcPr>
                <w:p w14:paraId="19C16FEF">
                  <w:pPr>
                    <w:pStyle w:val="49"/>
                    <w:rPr>
                      <w:color w:val="auto"/>
                    </w:rPr>
                  </w:pPr>
                  <w:r>
                    <w:rPr>
                      <w:color w:val="auto"/>
                    </w:rPr>
                    <w:t>距室内边界距离（m）</w:t>
                  </w:r>
                </w:p>
              </w:tc>
              <w:tc>
                <w:tcPr>
                  <w:tcW w:w="833" w:type="pct"/>
                  <w:gridSpan w:val="4"/>
                  <w:vMerge w:val="restart"/>
                  <w:tcBorders>
                    <w:tl2br w:val="nil"/>
                    <w:tr2bl w:val="nil"/>
                  </w:tcBorders>
                  <w:vAlign w:val="center"/>
                </w:tcPr>
                <w:p w14:paraId="7AB970AF">
                  <w:pPr>
                    <w:pStyle w:val="49"/>
                    <w:rPr>
                      <w:color w:val="auto"/>
                    </w:rPr>
                  </w:pPr>
                  <w:r>
                    <w:rPr>
                      <w:color w:val="auto"/>
                    </w:rPr>
                    <w:t>室内边界声级</w:t>
                  </w:r>
                </w:p>
                <w:p w14:paraId="481F5101">
                  <w:pPr>
                    <w:pStyle w:val="49"/>
                    <w:rPr>
                      <w:color w:val="auto"/>
                    </w:rPr>
                  </w:pPr>
                  <w:r>
                    <w:rPr>
                      <w:color w:val="auto"/>
                    </w:rPr>
                    <w:t>/dB(A)</w:t>
                  </w:r>
                </w:p>
              </w:tc>
              <w:tc>
                <w:tcPr>
                  <w:tcW w:w="158" w:type="pct"/>
                  <w:vMerge w:val="restart"/>
                  <w:tcBorders>
                    <w:tl2br w:val="nil"/>
                    <w:tr2bl w:val="nil"/>
                  </w:tcBorders>
                  <w:vAlign w:val="center"/>
                </w:tcPr>
                <w:p w14:paraId="6600AF34">
                  <w:pPr>
                    <w:pStyle w:val="49"/>
                    <w:rPr>
                      <w:color w:val="auto"/>
                    </w:rPr>
                  </w:pPr>
                  <w:r>
                    <w:rPr>
                      <w:color w:val="auto"/>
                    </w:rPr>
                    <w:t>运行</w:t>
                  </w:r>
                </w:p>
                <w:p w14:paraId="4D675BF1">
                  <w:pPr>
                    <w:pStyle w:val="49"/>
                    <w:rPr>
                      <w:color w:val="auto"/>
                    </w:rPr>
                  </w:pPr>
                  <w:r>
                    <w:rPr>
                      <w:color w:val="auto"/>
                    </w:rPr>
                    <w:t>时段</w:t>
                  </w:r>
                </w:p>
              </w:tc>
              <w:tc>
                <w:tcPr>
                  <w:tcW w:w="250" w:type="pct"/>
                  <w:vMerge w:val="restart"/>
                  <w:tcBorders>
                    <w:tl2br w:val="nil"/>
                    <w:tr2bl w:val="nil"/>
                  </w:tcBorders>
                  <w:vAlign w:val="center"/>
                </w:tcPr>
                <w:p w14:paraId="18B24269">
                  <w:pPr>
                    <w:pStyle w:val="49"/>
                    <w:rPr>
                      <w:color w:val="auto"/>
                    </w:rPr>
                  </w:pPr>
                  <w:r>
                    <w:rPr>
                      <w:color w:val="auto"/>
                    </w:rPr>
                    <w:t>建筑物插入损失</w:t>
                  </w:r>
                </w:p>
                <w:p w14:paraId="51F6E619">
                  <w:pPr>
                    <w:pStyle w:val="49"/>
                    <w:rPr>
                      <w:color w:val="auto"/>
                    </w:rPr>
                  </w:pPr>
                  <w:r>
                    <w:rPr>
                      <w:color w:val="auto"/>
                    </w:rPr>
                    <w:t>/dB(A)</w:t>
                  </w:r>
                </w:p>
              </w:tc>
              <w:tc>
                <w:tcPr>
                  <w:tcW w:w="982" w:type="pct"/>
                  <w:gridSpan w:val="5"/>
                  <w:tcBorders>
                    <w:tl2br w:val="nil"/>
                    <w:tr2bl w:val="nil"/>
                  </w:tcBorders>
                  <w:vAlign w:val="center"/>
                </w:tcPr>
                <w:p w14:paraId="1F50D712">
                  <w:pPr>
                    <w:pStyle w:val="49"/>
                    <w:rPr>
                      <w:color w:val="auto"/>
                    </w:rPr>
                  </w:pPr>
                  <w:r>
                    <w:rPr>
                      <w:color w:val="auto"/>
                    </w:rPr>
                    <w:t>建筑物外噪声</w:t>
                  </w:r>
                </w:p>
              </w:tc>
            </w:tr>
            <w:tr w14:paraId="0743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5" w:type="pct"/>
                  <w:vMerge w:val="continue"/>
                  <w:tcBorders>
                    <w:tl2br w:val="nil"/>
                    <w:tr2bl w:val="nil"/>
                  </w:tcBorders>
                  <w:vAlign w:val="center"/>
                </w:tcPr>
                <w:p w14:paraId="04F23745">
                  <w:pPr>
                    <w:pStyle w:val="49"/>
                    <w:rPr>
                      <w:color w:val="auto"/>
                      <w:lang w:eastAsia="en-US"/>
                    </w:rPr>
                  </w:pPr>
                </w:p>
              </w:tc>
              <w:tc>
                <w:tcPr>
                  <w:tcW w:w="278" w:type="pct"/>
                  <w:vMerge w:val="continue"/>
                  <w:tcBorders>
                    <w:tl2br w:val="nil"/>
                    <w:tr2bl w:val="nil"/>
                  </w:tcBorders>
                  <w:vAlign w:val="center"/>
                </w:tcPr>
                <w:p w14:paraId="55DBC39D">
                  <w:pPr>
                    <w:pStyle w:val="49"/>
                    <w:rPr>
                      <w:color w:val="auto"/>
                      <w:lang w:eastAsia="en-US"/>
                    </w:rPr>
                  </w:pPr>
                </w:p>
              </w:tc>
              <w:tc>
                <w:tcPr>
                  <w:tcW w:w="264" w:type="pct"/>
                  <w:vMerge w:val="continue"/>
                  <w:tcBorders>
                    <w:tl2br w:val="nil"/>
                    <w:tr2bl w:val="nil"/>
                  </w:tcBorders>
                  <w:vAlign w:val="center"/>
                </w:tcPr>
                <w:p w14:paraId="68359107">
                  <w:pPr>
                    <w:pStyle w:val="49"/>
                    <w:rPr>
                      <w:color w:val="auto"/>
                      <w:lang w:eastAsia="en-US"/>
                    </w:rPr>
                  </w:pPr>
                </w:p>
              </w:tc>
              <w:tc>
                <w:tcPr>
                  <w:tcW w:w="204" w:type="pct"/>
                  <w:vMerge w:val="continue"/>
                  <w:tcBorders>
                    <w:tl2br w:val="nil"/>
                    <w:tr2bl w:val="nil"/>
                  </w:tcBorders>
                  <w:vAlign w:val="center"/>
                </w:tcPr>
                <w:p w14:paraId="06B1258C">
                  <w:pPr>
                    <w:pStyle w:val="49"/>
                    <w:rPr>
                      <w:color w:val="auto"/>
                      <w:lang w:eastAsia="en-US"/>
                    </w:rPr>
                  </w:pPr>
                </w:p>
              </w:tc>
              <w:tc>
                <w:tcPr>
                  <w:tcW w:w="498" w:type="pct"/>
                  <w:vMerge w:val="continue"/>
                  <w:tcBorders>
                    <w:tl2br w:val="nil"/>
                    <w:tr2bl w:val="nil"/>
                  </w:tcBorders>
                  <w:vAlign w:val="center"/>
                </w:tcPr>
                <w:p w14:paraId="1A3F2671">
                  <w:pPr>
                    <w:pStyle w:val="49"/>
                    <w:rPr>
                      <w:color w:val="auto"/>
                    </w:rPr>
                  </w:pPr>
                </w:p>
              </w:tc>
              <w:tc>
                <w:tcPr>
                  <w:tcW w:w="306" w:type="pct"/>
                  <w:vMerge w:val="continue"/>
                  <w:tcBorders>
                    <w:tl2br w:val="nil"/>
                    <w:tr2bl w:val="nil"/>
                  </w:tcBorders>
                  <w:vAlign w:val="center"/>
                </w:tcPr>
                <w:p w14:paraId="2E478667">
                  <w:pPr>
                    <w:pStyle w:val="49"/>
                    <w:rPr>
                      <w:color w:val="auto"/>
                      <w:lang w:eastAsia="en-US"/>
                    </w:rPr>
                  </w:pPr>
                </w:p>
              </w:tc>
              <w:tc>
                <w:tcPr>
                  <w:tcW w:w="450" w:type="pct"/>
                  <w:gridSpan w:val="3"/>
                  <w:vMerge w:val="continue"/>
                  <w:tcBorders>
                    <w:tl2br w:val="nil"/>
                    <w:tr2bl w:val="nil"/>
                  </w:tcBorders>
                  <w:vAlign w:val="center"/>
                </w:tcPr>
                <w:p w14:paraId="22ACB0E3">
                  <w:pPr>
                    <w:pStyle w:val="49"/>
                    <w:rPr>
                      <w:color w:val="auto"/>
                    </w:rPr>
                  </w:pPr>
                </w:p>
              </w:tc>
              <w:tc>
                <w:tcPr>
                  <w:tcW w:w="637" w:type="pct"/>
                  <w:gridSpan w:val="4"/>
                  <w:vMerge w:val="continue"/>
                  <w:tcBorders>
                    <w:tl2br w:val="nil"/>
                    <w:tr2bl w:val="nil"/>
                  </w:tcBorders>
                  <w:vAlign w:val="center"/>
                </w:tcPr>
                <w:p w14:paraId="53977382">
                  <w:pPr>
                    <w:pStyle w:val="49"/>
                    <w:rPr>
                      <w:color w:val="auto"/>
                      <w:lang w:eastAsia="en-US"/>
                    </w:rPr>
                  </w:pPr>
                </w:p>
              </w:tc>
              <w:tc>
                <w:tcPr>
                  <w:tcW w:w="833" w:type="pct"/>
                  <w:gridSpan w:val="4"/>
                  <w:vMerge w:val="continue"/>
                  <w:tcBorders>
                    <w:tl2br w:val="nil"/>
                    <w:tr2bl w:val="nil"/>
                  </w:tcBorders>
                  <w:vAlign w:val="center"/>
                </w:tcPr>
                <w:p w14:paraId="1BD81BDC">
                  <w:pPr>
                    <w:pStyle w:val="49"/>
                    <w:rPr>
                      <w:color w:val="auto"/>
                      <w:lang w:eastAsia="en-US"/>
                    </w:rPr>
                  </w:pPr>
                </w:p>
              </w:tc>
              <w:tc>
                <w:tcPr>
                  <w:tcW w:w="158" w:type="pct"/>
                  <w:vMerge w:val="continue"/>
                  <w:tcBorders>
                    <w:tl2br w:val="nil"/>
                    <w:tr2bl w:val="nil"/>
                  </w:tcBorders>
                  <w:vAlign w:val="center"/>
                </w:tcPr>
                <w:p w14:paraId="750D765D">
                  <w:pPr>
                    <w:pStyle w:val="49"/>
                    <w:rPr>
                      <w:color w:val="auto"/>
                      <w:lang w:eastAsia="en-US"/>
                    </w:rPr>
                  </w:pPr>
                </w:p>
              </w:tc>
              <w:tc>
                <w:tcPr>
                  <w:tcW w:w="250" w:type="pct"/>
                  <w:vMerge w:val="continue"/>
                  <w:tcBorders>
                    <w:tl2br w:val="nil"/>
                    <w:tr2bl w:val="nil"/>
                  </w:tcBorders>
                  <w:vAlign w:val="center"/>
                </w:tcPr>
                <w:p w14:paraId="1CD3497A">
                  <w:pPr>
                    <w:pStyle w:val="49"/>
                    <w:rPr>
                      <w:color w:val="auto"/>
                      <w:lang w:eastAsia="en-US"/>
                    </w:rPr>
                  </w:pPr>
                </w:p>
              </w:tc>
              <w:tc>
                <w:tcPr>
                  <w:tcW w:w="794" w:type="pct"/>
                  <w:gridSpan w:val="4"/>
                  <w:tcBorders>
                    <w:tl2br w:val="nil"/>
                    <w:tr2bl w:val="nil"/>
                  </w:tcBorders>
                  <w:vAlign w:val="center"/>
                </w:tcPr>
                <w:p w14:paraId="65A9F00E">
                  <w:pPr>
                    <w:pStyle w:val="49"/>
                    <w:rPr>
                      <w:color w:val="auto"/>
                    </w:rPr>
                  </w:pPr>
                  <w:r>
                    <w:rPr>
                      <w:color w:val="auto"/>
                    </w:rPr>
                    <w:t>声压级/dB(A)</w:t>
                  </w:r>
                </w:p>
              </w:tc>
              <w:tc>
                <w:tcPr>
                  <w:tcW w:w="188" w:type="pct"/>
                  <w:vMerge w:val="restart"/>
                  <w:tcBorders>
                    <w:tl2br w:val="nil"/>
                    <w:tr2bl w:val="nil"/>
                  </w:tcBorders>
                  <w:vAlign w:val="center"/>
                </w:tcPr>
                <w:p w14:paraId="2F3D5A05">
                  <w:pPr>
                    <w:pStyle w:val="49"/>
                    <w:rPr>
                      <w:color w:val="auto"/>
                    </w:rPr>
                  </w:pPr>
                  <w:r>
                    <w:rPr>
                      <w:color w:val="auto"/>
                    </w:rPr>
                    <w:t>建筑物外距离</w:t>
                  </w:r>
                </w:p>
              </w:tc>
            </w:tr>
            <w:tr w14:paraId="431E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5" w:type="pct"/>
                  <w:vMerge w:val="continue"/>
                  <w:tcBorders>
                    <w:tl2br w:val="nil"/>
                    <w:tr2bl w:val="nil"/>
                  </w:tcBorders>
                  <w:vAlign w:val="center"/>
                </w:tcPr>
                <w:p w14:paraId="1480DEB5">
                  <w:pPr>
                    <w:pStyle w:val="49"/>
                    <w:rPr>
                      <w:color w:val="auto"/>
                      <w:lang w:eastAsia="en-US"/>
                    </w:rPr>
                  </w:pPr>
                </w:p>
              </w:tc>
              <w:tc>
                <w:tcPr>
                  <w:tcW w:w="278" w:type="pct"/>
                  <w:vMerge w:val="continue"/>
                  <w:tcBorders>
                    <w:tl2br w:val="nil"/>
                    <w:tr2bl w:val="nil"/>
                  </w:tcBorders>
                  <w:vAlign w:val="center"/>
                </w:tcPr>
                <w:p w14:paraId="359B8FEC">
                  <w:pPr>
                    <w:pStyle w:val="49"/>
                    <w:rPr>
                      <w:color w:val="auto"/>
                      <w:lang w:eastAsia="en-US"/>
                    </w:rPr>
                  </w:pPr>
                </w:p>
              </w:tc>
              <w:tc>
                <w:tcPr>
                  <w:tcW w:w="264" w:type="pct"/>
                  <w:vMerge w:val="continue"/>
                  <w:tcBorders>
                    <w:tl2br w:val="nil"/>
                    <w:tr2bl w:val="nil"/>
                  </w:tcBorders>
                  <w:vAlign w:val="center"/>
                </w:tcPr>
                <w:p w14:paraId="00DEEA0C">
                  <w:pPr>
                    <w:pStyle w:val="49"/>
                    <w:rPr>
                      <w:color w:val="auto"/>
                      <w:lang w:eastAsia="en-US"/>
                    </w:rPr>
                  </w:pPr>
                </w:p>
              </w:tc>
              <w:tc>
                <w:tcPr>
                  <w:tcW w:w="204" w:type="pct"/>
                  <w:vMerge w:val="continue"/>
                  <w:tcBorders>
                    <w:tl2br w:val="nil"/>
                    <w:tr2bl w:val="nil"/>
                  </w:tcBorders>
                  <w:vAlign w:val="center"/>
                </w:tcPr>
                <w:p w14:paraId="5D0C8319">
                  <w:pPr>
                    <w:pStyle w:val="49"/>
                    <w:rPr>
                      <w:color w:val="auto"/>
                      <w:lang w:eastAsia="en-US"/>
                    </w:rPr>
                  </w:pPr>
                </w:p>
              </w:tc>
              <w:tc>
                <w:tcPr>
                  <w:tcW w:w="498" w:type="pct"/>
                  <w:vMerge w:val="continue"/>
                  <w:tcBorders>
                    <w:tl2br w:val="nil"/>
                    <w:tr2bl w:val="nil"/>
                  </w:tcBorders>
                  <w:vAlign w:val="center"/>
                </w:tcPr>
                <w:p w14:paraId="6C59CF02">
                  <w:pPr>
                    <w:pStyle w:val="49"/>
                    <w:rPr>
                      <w:color w:val="auto"/>
                    </w:rPr>
                  </w:pPr>
                </w:p>
              </w:tc>
              <w:tc>
                <w:tcPr>
                  <w:tcW w:w="306" w:type="pct"/>
                  <w:vMerge w:val="continue"/>
                  <w:tcBorders>
                    <w:tl2br w:val="nil"/>
                    <w:tr2bl w:val="nil"/>
                  </w:tcBorders>
                  <w:vAlign w:val="center"/>
                </w:tcPr>
                <w:p w14:paraId="52E7D3CA">
                  <w:pPr>
                    <w:pStyle w:val="49"/>
                    <w:rPr>
                      <w:color w:val="auto"/>
                      <w:lang w:eastAsia="en-US"/>
                    </w:rPr>
                  </w:pPr>
                </w:p>
              </w:tc>
              <w:tc>
                <w:tcPr>
                  <w:tcW w:w="149" w:type="pct"/>
                  <w:tcBorders>
                    <w:tl2br w:val="nil"/>
                    <w:tr2bl w:val="nil"/>
                  </w:tcBorders>
                  <w:vAlign w:val="center"/>
                </w:tcPr>
                <w:p w14:paraId="0B3C053C">
                  <w:pPr>
                    <w:pStyle w:val="49"/>
                    <w:rPr>
                      <w:color w:val="auto"/>
                    </w:rPr>
                  </w:pPr>
                  <w:r>
                    <w:rPr>
                      <w:color w:val="auto"/>
                    </w:rPr>
                    <w:t>X</w:t>
                  </w:r>
                </w:p>
              </w:tc>
              <w:tc>
                <w:tcPr>
                  <w:tcW w:w="149" w:type="pct"/>
                  <w:tcBorders>
                    <w:tl2br w:val="nil"/>
                    <w:tr2bl w:val="nil"/>
                  </w:tcBorders>
                  <w:vAlign w:val="center"/>
                </w:tcPr>
                <w:p w14:paraId="15714DC1">
                  <w:pPr>
                    <w:pStyle w:val="49"/>
                    <w:rPr>
                      <w:color w:val="auto"/>
                    </w:rPr>
                  </w:pPr>
                  <w:r>
                    <w:rPr>
                      <w:color w:val="auto"/>
                    </w:rPr>
                    <w:t>Y</w:t>
                  </w:r>
                </w:p>
              </w:tc>
              <w:tc>
                <w:tcPr>
                  <w:tcW w:w="152" w:type="pct"/>
                  <w:tcBorders>
                    <w:tl2br w:val="nil"/>
                    <w:tr2bl w:val="nil"/>
                  </w:tcBorders>
                  <w:vAlign w:val="center"/>
                </w:tcPr>
                <w:p w14:paraId="0F2B5B78">
                  <w:pPr>
                    <w:pStyle w:val="49"/>
                    <w:rPr>
                      <w:color w:val="auto"/>
                    </w:rPr>
                  </w:pPr>
                  <w:r>
                    <w:rPr>
                      <w:color w:val="auto"/>
                    </w:rPr>
                    <w:t>Z</w:t>
                  </w:r>
                </w:p>
              </w:tc>
              <w:tc>
                <w:tcPr>
                  <w:tcW w:w="158" w:type="pct"/>
                  <w:tcBorders>
                    <w:tl2br w:val="nil"/>
                    <w:tr2bl w:val="nil"/>
                  </w:tcBorders>
                  <w:vAlign w:val="center"/>
                </w:tcPr>
                <w:p w14:paraId="66C23C72">
                  <w:pPr>
                    <w:pStyle w:val="49"/>
                    <w:rPr>
                      <w:color w:val="auto"/>
                    </w:rPr>
                  </w:pPr>
                  <w:r>
                    <w:rPr>
                      <w:color w:val="auto"/>
                    </w:rPr>
                    <w:t>东</w:t>
                  </w:r>
                </w:p>
              </w:tc>
              <w:tc>
                <w:tcPr>
                  <w:tcW w:w="158" w:type="pct"/>
                  <w:tcBorders>
                    <w:tl2br w:val="nil"/>
                    <w:tr2bl w:val="nil"/>
                  </w:tcBorders>
                  <w:vAlign w:val="center"/>
                </w:tcPr>
                <w:p w14:paraId="1ED09A02">
                  <w:pPr>
                    <w:pStyle w:val="49"/>
                    <w:rPr>
                      <w:color w:val="auto"/>
                    </w:rPr>
                  </w:pPr>
                  <w:r>
                    <w:rPr>
                      <w:color w:val="auto"/>
                    </w:rPr>
                    <w:t>南</w:t>
                  </w:r>
                </w:p>
              </w:tc>
              <w:tc>
                <w:tcPr>
                  <w:tcW w:w="158" w:type="pct"/>
                  <w:tcBorders>
                    <w:tl2br w:val="nil"/>
                    <w:tr2bl w:val="nil"/>
                  </w:tcBorders>
                  <w:vAlign w:val="center"/>
                </w:tcPr>
                <w:p w14:paraId="4D3052D0">
                  <w:pPr>
                    <w:pStyle w:val="49"/>
                    <w:rPr>
                      <w:color w:val="auto"/>
                    </w:rPr>
                  </w:pPr>
                  <w:r>
                    <w:rPr>
                      <w:color w:val="auto"/>
                    </w:rPr>
                    <w:t>西</w:t>
                  </w:r>
                </w:p>
              </w:tc>
              <w:tc>
                <w:tcPr>
                  <w:tcW w:w="163" w:type="pct"/>
                  <w:tcBorders>
                    <w:tl2br w:val="nil"/>
                    <w:tr2bl w:val="nil"/>
                  </w:tcBorders>
                  <w:vAlign w:val="center"/>
                </w:tcPr>
                <w:p w14:paraId="29950B84">
                  <w:pPr>
                    <w:pStyle w:val="49"/>
                    <w:rPr>
                      <w:color w:val="auto"/>
                    </w:rPr>
                  </w:pPr>
                  <w:r>
                    <w:rPr>
                      <w:color w:val="auto"/>
                    </w:rPr>
                    <w:t>北</w:t>
                  </w:r>
                </w:p>
              </w:tc>
              <w:tc>
                <w:tcPr>
                  <w:tcW w:w="208" w:type="pct"/>
                  <w:tcBorders>
                    <w:tl2br w:val="nil"/>
                    <w:tr2bl w:val="nil"/>
                  </w:tcBorders>
                  <w:vAlign w:val="center"/>
                </w:tcPr>
                <w:p w14:paraId="12987D9E">
                  <w:pPr>
                    <w:pStyle w:val="49"/>
                    <w:rPr>
                      <w:color w:val="auto"/>
                      <w:lang w:eastAsia="en-US"/>
                    </w:rPr>
                  </w:pPr>
                  <w:r>
                    <w:rPr>
                      <w:color w:val="auto"/>
                    </w:rPr>
                    <w:t>东</w:t>
                  </w:r>
                </w:p>
              </w:tc>
              <w:tc>
                <w:tcPr>
                  <w:tcW w:w="208" w:type="pct"/>
                  <w:tcBorders>
                    <w:tl2br w:val="nil"/>
                    <w:tr2bl w:val="nil"/>
                  </w:tcBorders>
                  <w:vAlign w:val="center"/>
                </w:tcPr>
                <w:p w14:paraId="11AF868D">
                  <w:pPr>
                    <w:pStyle w:val="49"/>
                    <w:rPr>
                      <w:color w:val="auto"/>
                      <w:lang w:eastAsia="en-US"/>
                    </w:rPr>
                  </w:pPr>
                  <w:r>
                    <w:rPr>
                      <w:color w:val="auto"/>
                    </w:rPr>
                    <w:t>南</w:t>
                  </w:r>
                </w:p>
              </w:tc>
              <w:tc>
                <w:tcPr>
                  <w:tcW w:w="208" w:type="pct"/>
                  <w:tcBorders>
                    <w:tl2br w:val="nil"/>
                    <w:tr2bl w:val="nil"/>
                  </w:tcBorders>
                  <w:vAlign w:val="center"/>
                </w:tcPr>
                <w:p w14:paraId="6A46BA52">
                  <w:pPr>
                    <w:pStyle w:val="49"/>
                    <w:rPr>
                      <w:color w:val="auto"/>
                      <w:lang w:eastAsia="en-US"/>
                    </w:rPr>
                  </w:pPr>
                  <w:r>
                    <w:rPr>
                      <w:color w:val="auto"/>
                    </w:rPr>
                    <w:t>西</w:t>
                  </w:r>
                </w:p>
              </w:tc>
              <w:tc>
                <w:tcPr>
                  <w:tcW w:w="209" w:type="pct"/>
                  <w:tcBorders>
                    <w:tl2br w:val="nil"/>
                    <w:tr2bl w:val="nil"/>
                  </w:tcBorders>
                  <w:vAlign w:val="center"/>
                </w:tcPr>
                <w:p w14:paraId="3B03991A">
                  <w:pPr>
                    <w:pStyle w:val="49"/>
                    <w:rPr>
                      <w:color w:val="auto"/>
                      <w:lang w:eastAsia="en-US"/>
                    </w:rPr>
                  </w:pPr>
                  <w:r>
                    <w:rPr>
                      <w:color w:val="auto"/>
                    </w:rPr>
                    <w:t>北</w:t>
                  </w:r>
                </w:p>
              </w:tc>
              <w:tc>
                <w:tcPr>
                  <w:tcW w:w="158" w:type="pct"/>
                  <w:vMerge w:val="continue"/>
                  <w:tcBorders>
                    <w:tl2br w:val="nil"/>
                    <w:tr2bl w:val="nil"/>
                  </w:tcBorders>
                  <w:vAlign w:val="center"/>
                </w:tcPr>
                <w:p w14:paraId="210A892A">
                  <w:pPr>
                    <w:pStyle w:val="49"/>
                    <w:rPr>
                      <w:color w:val="auto"/>
                      <w:lang w:eastAsia="en-US"/>
                    </w:rPr>
                  </w:pPr>
                </w:p>
              </w:tc>
              <w:tc>
                <w:tcPr>
                  <w:tcW w:w="250" w:type="pct"/>
                  <w:vMerge w:val="continue"/>
                  <w:tcBorders>
                    <w:tl2br w:val="nil"/>
                    <w:tr2bl w:val="nil"/>
                  </w:tcBorders>
                  <w:vAlign w:val="center"/>
                </w:tcPr>
                <w:p w14:paraId="1B40581B">
                  <w:pPr>
                    <w:pStyle w:val="49"/>
                    <w:rPr>
                      <w:color w:val="auto"/>
                      <w:lang w:eastAsia="en-US"/>
                    </w:rPr>
                  </w:pPr>
                </w:p>
              </w:tc>
              <w:tc>
                <w:tcPr>
                  <w:tcW w:w="197" w:type="pct"/>
                  <w:tcBorders>
                    <w:tl2br w:val="nil"/>
                    <w:tr2bl w:val="nil"/>
                  </w:tcBorders>
                  <w:vAlign w:val="center"/>
                </w:tcPr>
                <w:p w14:paraId="4F2B6A43">
                  <w:pPr>
                    <w:pStyle w:val="49"/>
                    <w:rPr>
                      <w:color w:val="auto"/>
                      <w:lang w:eastAsia="en-US"/>
                    </w:rPr>
                  </w:pPr>
                  <w:r>
                    <w:rPr>
                      <w:color w:val="auto"/>
                    </w:rPr>
                    <w:t>东</w:t>
                  </w:r>
                </w:p>
              </w:tc>
              <w:tc>
                <w:tcPr>
                  <w:tcW w:w="197" w:type="pct"/>
                  <w:tcBorders>
                    <w:tl2br w:val="nil"/>
                    <w:tr2bl w:val="nil"/>
                  </w:tcBorders>
                  <w:vAlign w:val="center"/>
                </w:tcPr>
                <w:p w14:paraId="5181AF0F">
                  <w:pPr>
                    <w:pStyle w:val="49"/>
                    <w:rPr>
                      <w:color w:val="auto"/>
                      <w:lang w:eastAsia="en-US"/>
                    </w:rPr>
                  </w:pPr>
                  <w:r>
                    <w:rPr>
                      <w:color w:val="auto"/>
                    </w:rPr>
                    <w:t>南</w:t>
                  </w:r>
                </w:p>
              </w:tc>
              <w:tc>
                <w:tcPr>
                  <w:tcW w:w="197" w:type="pct"/>
                  <w:tcBorders>
                    <w:tl2br w:val="nil"/>
                    <w:tr2bl w:val="nil"/>
                  </w:tcBorders>
                  <w:vAlign w:val="center"/>
                </w:tcPr>
                <w:p w14:paraId="7958BB4A">
                  <w:pPr>
                    <w:pStyle w:val="49"/>
                    <w:rPr>
                      <w:color w:val="auto"/>
                      <w:lang w:eastAsia="en-US"/>
                    </w:rPr>
                  </w:pPr>
                  <w:r>
                    <w:rPr>
                      <w:color w:val="auto"/>
                    </w:rPr>
                    <w:t>西</w:t>
                  </w:r>
                </w:p>
              </w:tc>
              <w:tc>
                <w:tcPr>
                  <w:tcW w:w="203" w:type="pct"/>
                  <w:tcBorders>
                    <w:tl2br w:val="nil"/>
                    <w:tr2bl w:val="nil"/>
                  </w:tcBorders>
                  <w:vAlign w:val="center"/>
                </w:tcPr>
                <w:p w14:paraId="23F75EA2">
                  <w:pPr>
                    <w:pStyle w:val="49"/>
                    <w:rPr>
                      <w:color w:val="auto"/>
                      <w:lang w:eastAsia="en-US"/>
                    </w:rPr>
                  </w:pPr>
                  <w:r>
                    <w:rPr>
                      <w:color w:val="auto"/>
                    </w:rPr>
                    <w:t>北</w:t>
                  </w:r>
                </w:p>
              </w:tc>
              <w:tc>
                <w:tcPr>
                  <w:tcW w:w="188" w:type="pct"/>
                  <w:vMerge w:val="continue"/>
                  <w:tcBorders>
                    <w:tl2br w:val="nil"/>
                    <w:tr2bl w:val="nil"/>
                  </w:tcBorders>
                  <w:vAlign w:val="center"/>
                </w:tcPr>
                <w:p w14:paraId="4EB57D92">
                  <w:pPr>
                    <w:rPr>
                      <w:color w:val="auto"/>
                    </w:rPr>
                  </w:pPr>
                </w:p>
              </w:tc>
            </w:tr>
            <w:tr w14:paraId="22B5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5" w:type="pct"/>
                  <w:tcBorders>
                    <w:tl2br w:val="nil"/>
                    <w:tr2bl w:val="nil"/>
                  </w:tcBorders>
                  <w:vAlign w:val="center"/>
                </w:tcPr>
                <w:p w14:paraId="7125A9FE">
                  <w:pPr>
                    <w:pStyle w:val="51"/>
                    <w:rPr>
                      <w:color w:val="auto"/>
                    </w:rPr>
                  </w:pPr>
                  <w:r>
                    <w:rPr>
                      <w:color w:val="auto"/>
                    </w:rPr>
                    <w:t>1</w:t>
                  </w:r>
                </w:p>
              </w:tc>
              <w:tc>
                <w:tcPr>
                  <w:tcW w:w="278" w:type="pct"/>
                  <w:tcBorders>
                    <w:tl2br w:val="nil"/>
                    <w:tr2bl w:val="nil"/>
                  </w:tcBorders>
                  <w:vAlign w:val="center"/>
                </w:tcPr>
                <w:p w14:paraId="5C1358A7">
                  <w:pPr>
                    <w:pStyle w:val="51"/>
                    <w:rPr>
                      <w:color w:val="auto"/>
                    </w:rPr>
                  </w:pPr>
                  <w:r>
                    <w:rPr>
                      <w:color w:val="auto"/>
                    </w:rPr>
                    <w:t>1#厂房</w:t>
                  </w:r>
                </w:p>
              </w:tc>
              <w:tc>
                <w:tcPr>
                  <w:tcW w:w="264" w:type="pct"/>
                  <w:tcBorders>
                    <w:tl2br w:val="nil"/>
                    <w:tr2bl w:val="nil"/>
                  </w:tcBorders>
                  <w:vAlign w:val="center"/>
                </w:tcPr>
                <w:p w14:paraId="2CB8F7C6">
                  <w:pPr>
                    <w:pStyle w:val="51"/>
                    <w:rPr>
                      <w:color w:val="auto"/>
                    </w:rPr>
                  </w:pPr>
                  <w:r>
                    <w:rPr>
                      <w:rFonts w:hint="eastAsia"/>
                      <w:color w:val="auto"/>
                    </w:rPr>
                    <w:t>喷水</w:t>
                  </w:r>
                </w:p>
                <w:p w14:paraId="6915B3BE">
                  <w:pPr>
                    <w:pStyle w:val="51"/>
                    <w:rPr>
                      <w:color w:val="auto"/>
                    </w:rPr>
                  </w:pPr>
                  <w:r>
                    <w:rPr>
                      <w:rFonts w:hint="eastAsia"/>
                      <w:color w:val="auto"/>
                    </w:rPr>
                    <w:t>织机</w:t>
                  </w:r>
                </w:p>
              </w:tc>
              <w:tc>
                <w:tcPr>
                  <w:tcW w:w="204" w:type="pct"/>
                  <w:tcBorders>
                    <w:tl2br w:val="nil"/>
                    <w:tr2bl w:val="nil"/>
                  </w:tcBorders>
                  <w:vAlign w:val="center"/>
                </w:tcPr>
                <w:p w14:paraId="615F8D8D">
                  <w:pPr>
                    <w:pStyle w:val="51"/>
                    <w:rPr>
                      <w:color w:val="auto"/>
                    </w:rPr>
                  </w:pPr>
                  <w:r>
                    <w:rPr>
                      <w:rFonts w:hint="eastAsia"/>
                      <w:color w:val="auto"/>
                    </w:rPr>
                    <w:t>1200</w:t>
                  </w:r>
                </w:p>
              </w:tc>
              <w:tc>
                <w:tcPr>
                  <w:tcW w:w="498" w:type="pct"/>
                  <w:tcBorders>
                    <w:tl2br w:val="nil"/>
                    <w:tr2bl w:val="nil"/>
                  </w:tcBorders>
                  <w:vAlign w:val="center"/>
                </w:tcPr>
                <w:p w14:paraId="07F1CDE3">
                  <w:pPr>
                    <w:pStyle w:val="51"/>
                    <w:rPr>
                      <w:color w:val="auto"/>
                    </w:rPr>
                  </w:pPr>
                  <w:r>
                    <w:rPr>
                      <w:rFonts w:hint="eastAsia"/>
                      <w:color w:val="auto"/>
                    </w:rPr>
                    <w:t>75</w:t>
                  </w:r>
                  <w:r>
                    <w:rPr>
                      <w:color w:val="auto"/>
                    </w:rPr>
                    <w:t>（点声源组等效后</w:t>
                  </w:r>
                  <w:r>
                    <w:rPr>
                      <w:rFonts w:hint="eastAsia"/>
                      <w:color w:val="auto"/>
                    </w:rPr>
                    <w:t>102.8</w:t>
                  </w:r>
                  <w:r>
                    <w:rPr>
                      <w:color w:val="auto"/>
                    </w:rPr>
                    <w:t>）</w:t>
                  </w:r>
                </w:p>
              </w:tc>
              <w:tc>
                <w:tcPr>
                  <w:tcW w:w="306" w:type="pct"/>
                  <w:vMerge w:val="restart"/>
                  <w:tcBorders>
                    <w:tl2br w:val="nil"/>
                    <w:tr2bl w:val="nil"/>
                  </w:tcBorders>
                  <w:vAlign w:val="center"/>
                </w:tcPr>
                <w:p w14:paraId="0BAE6EFE">
                  <w:pPr>
                    <w:pStyle w:val="51"/>
                    <w:rPr>
                      <w:color w:val="auto"/>
                    </w:rPr>
                  </w:pPr>
                  <w:r>
                    <w:rPr>
                      <w:color w:val="auto"/>
                    </w:rPr>
                    <w:t>合理选型、减振、隔声</w:t>
                  </w:r>
                </w:p>
              </w:tc>
              <w:tc>
                <w:tcPr>
                  <w:tcW w:w="149" w:type="pct"/>
                  <w:tcBorders>
                    <w:tl2br w:val="nil"/>
                    <w:tr2bl w:val="nil"/>
                  </w:tcBorders>
                  <w:vAlign w:val="center"/>
                </w:tcPr>
                <w:p w14:paraId="0284FDAC">
                  <w:pPr>
                    <w:pStyle w:val="51"/>
                    <w:rPr>
                      <w:color w:val="auto"/>
                    </w:rPr>
                  </w:pPr>
                  <w:r>
                    <w:rPr>
                      <w:rFonts w:hint="eastAsia"/>
                      <w:color w:val="auto"/>
                    </w:rPr>
                    <w:t>26</w:t>
                  </w:r>
                </w:p>
              </w:tc>
              <w:tc>
                <w:tcPr>
                  <w:tcW w:w="149" w:type="pct"/>
                  <w:tcBorders>
                    <w:tl2br w:val="nil"/>
                    <w:tr2bl w:val="nil"/>
                  </w:tcBorders>
                  <w:vAlign w:val="center"/>
                </w:tcPr>
                <w:p w14:paraId="1EF25DC3">
                  <w:pPr>
                    <w:pStyle w:val="51"/>
                    <w:rPr>
                      <w:color w:val="auto"/>
                    </w:rPr>
                  </w:pPr>
                  <w:r>
                    <w:rPr>
                      <w:rFonts w:hint="eastAsia"/>
                      <w:color w:val="auto"/>
                    </w:rPr>
                    <w:t>50</w:t>
                  </w:r>
                </w:p>
              </w:tc>
              <w:tc>
                <w:tcPr>
                  <w:tcW w:w="152" w:type="pct"/>
                  <w:tcBorders>
                    <w:tl2br w:val="nil"/>
                    <w:tr2bl w:val="nil"/>
                  </w:tcBorders>
                  <w:vAlign w:val="center"/>
                </w:tcPr>
                <w:p w14:paraId="2F2AFA4E">
                  <w:pPr>
                    <w:pStyle w:val="51"/>
                    <w:rPr>
                      <w:color w:val="auto"/>
                    </w:rPr>
                  </w:pPr>
                  <w:r>
                    <w:rPr>
                      <w:color w:val="auto"/>
                    </w:rPr>
                    <w:t>1</w:t>
                  </w:r>
                </w:p>
              </w:tc>
              <w:tc>
                <w:tcPr>
                  <w:tcW w:w="158" w:type="pct"/>
                  <w:tcBorders>
                    <w:tl2br w:val="nil"/>
                    <w:tr2bl w:val="nil"/>
                  </w:tcBorders>
                  <w:vAlign w:val="center"/>
                </w:tcPr>
                <w:p w14:paraId="05E1C579">
                  <w:pPr>
                    <w:pStyle w:val="51"/>
                    <w:rPr>
                      <w:color w:val="auto"/>
                    </w:rPr>
                  </w:pPr>
                  <w:r>
                    <w:rPr>
                      <w:color w:val="auto"/>
                    </w:rPr>
                    <w:t>20</w:t>
                  </w:r>
                </w:p>
              </w:tc>
              <w:tc>
                <w:tcPr>
                  <w:tcW w:w="158" w:type="pct"/>
                  <w:tcBorders>
                    <w:tl2br w:val="nil"/>
                    <w:tr2bl w:val="nil"/>
                  </w:tcBorders>
                  <w:vAlign w:val="center"/>
                </w:tcPr>
                <w:p w14:paraId="0923188A">
                  <w:pPr>
                    <w:pStyle w:val="51"/>
                    <w:rPr>
                      <w:color w:val="auto"/>
                    </w:rPr>
                  </w:pPr>
                  <w:r>
                    <w:rPr>
                      <w:color w:val="auto"/>
                    </w:rPr>
                    <w:t>20</w:t>
                  </w:r>
                </w:p>
              </w:tc>
              <w:tc>
                <w:tcPr>
                  <w:tcW w:w="158" w:type="pct"/>
                  <w:tcBorders>
                    <w:tl2br w:val="nil"/>
                    <w:tr2bl w:val="nil"/>
                  </w:tcBorders>
                  <w:vAlign w:val="center"/>
                </w:tcPr>
                <w:p w14:paraId="65C1E2CD">
                  <w:pPr>
                    <w:pStyle w:val="51"/>
                    <w:rPr>
                      <w:color w:val="auto"/>
                    </w:rPr>
                  </w:pPr>
                  <w:r>
                    <w:rPr>
                      <w:color w:val="auto"/>
                    </w:rPr>
                    <w:t>20</w:t>
                  </w:r>
                </w:p>
              </w:tc>
              <w:tc>
                <w:tcPr>
                  <w:tcW w:w="163" w:type="pct"/>
                  <w:tcBorders>
                    <w:tl2br w:val="nil"/>
                    <w:tr2bl w:val="nil"/>
                  </w:tcBorders>
                  <w:vAlign w:val="center"/>
                </w:tcPr>
                <w:p w14:paraId="10E2CEAD">
                  <w:pPr>
                    <w:pStyle w:val="51"/>
                    <w:rPr>
                      <w:color w:val="auto"/>
                    </w:rPr>
                  </w:pPr>
                  <w:r>
                    <w:rPr>
                      <w:color w:val="auto"/>
                    </w:rPr>
                    <w:t>36</w:t>
                  </w:r>
                </w:p>
              </w:tc>
              <w:tc>
                <w:tcPr>
                  <w:tcW w:w="555" w:type="dxa"/>
                  <w:tcBorders>
                    <w:tl2br w:val="nil"/>
                    <w:tr2bl w:val="nil"/>
                  </w:tcBorders>
                  <w:vAlign w:val="center"/>
                </w:tcPr>
                <w:p w14:paraId="41C13AE8">
                  <w:pPr>
                    <w:pStyle w:val="51"/>
                    <w:rPr>
                      <w:color w:val="auto"/>
                    </w:rPr>
                  </w:pPr>
                  <w:r>
                    <w:rPr>
                      <w:color w:val="auto"/>
                    </w:rPr>
                    <w:t xml:space="preserve">86.98 </w:t>
                  </w:r>
                </w:p>
              </w:tc>
              <w:tc>
                <w:tcPr>
                  <w:tcW w:w="555" w:type="dxa"/>
                  <w:tcBorders>
                    <w:tl2br w:val="nil"/>
                    <w:tr2bl w:val="nil"/>
                  </w:tcBorders>
                  <w:vAlign w:val="center"/>
                </w:tcPr>
                <w:p w14:paraId="405AE0B0">
                  <w:pPr>
                    <w:pStyle w:val="51"/>
                    <w:rPr>
                      <w:color w:val="auto"/>
                    </w:rPr>
                  </w:pPr>
                  <w:r>
                    <w:rPr>
                      <w:color w:val="auto"/>
                    </w:rPr>
                    <w:t xml:space="preserve">86.91 </w:t>
                  </w:r>
                </w:p>
              </w:tc>
              <w:tc>
                <w:tcPr>
                  <w:tcW w:w="555" w:type="dxa"/>
                  <w:tcBorders>
                    <w:tl2br w:val="nil"/>
                    <w:tr2bl w:val="nil"/>
                  </w:tcBorders>
                  <w:vAlign w:val="center"/>
                </w:tcPr>
                <w:p w14:paraId="4329CB5D">
                  <w:pPr>
                    <w:pStyle w:val="51"/>
                    <w:rPr>
                      <w:color w:val="auto"/>
                    </w:rPr>
                  </w:pPr>
                  <w:r>
                    <w:rPr>
                      <w:color w:val="auto"/>
                    </w:rPr>
                    <w:t xml:space="preserve">86.98 </w:t>
                  </w:r>
                </w:p>
              </w:tc>
              <w:tc>
                <w:tcPr>
                  <w:tcW w:w="558" w:type="dxa"/>
                  <w:tcBorders>
                    <w:tl2br w:val="nil"/>
                    <w:tr2bl w:val="nil"/>
                  </w:tcBorders>
                  <w:vAlign w:val="center"/>
                </w:tcPr>
                <w:p w14:paraId="106C86CD">
                  <w:pPr>
                    <w:pStyle w:val="51"/>
                    <w:rPr>
                      <w:color w:val="auto"/>
                    </w:rPr>
                  </w:pPr>
                  <w:r>
                    <w:rPr>
                      <w:color w:val="auto"/>
                    </w:rPr>
                    <w:t xml:space="preserve">86.87 </w:t>
                  </w:r>
                </w:p>
              </w:tc>
              <w:tc>
                <w:tcPr>
                  <w:tcW w:w="158" w:type="pct"/>
                  <w:vMerge w:val="restart"/>
                  <w:tcBorders>
                    <w:tl2br w:val="nil"/>
                    <w:tr2bl w:val="nil"/>
                  </w:tcBorders>
                  <w:vAlign w:val="center"/>
                </w:tcPr>
                <w:p w14:paraId="6E6F8949">
                  <w:pPr>
                    <w:pStyle w:val="51"/>
                    <w:rPr>
                      <w:color w:val="auto"/>
                    </w:rPr>
                  </w:pPr>
                  <w:r>
                    <w:rPr>
                      <w:color w:val="auto"/>
                    </w:rPr>
                    <w:t>24小时</w:t>
                  </w:r>
                </w:p>
              </w:tc>
              <w:tc>
                <w:tcPr>
                  <w:tcW w:w="250" w:type="pct"/>
                  <w:tcBorders>
                    <w:tl2br w:val="nil"/>
                    <w:tr2bl w:val="nil"/>
                  </w:tcBorders>
                  <w:vAlign w:val="center"/>
                </w:tcPr>
                <w:p w14:paraId="61CB72B6">
                  <w:pPr>
                    <w:pStyle w:val="51"/>
                    <w:rPr>
                      <w:color w:val="auto"/>
                    </w:rPr>
                  </w:pPr>
                  <w:r>
                    <w:rPr>
                      <w:color w:val="auto"/>
                    </w:rPr>
                    <w:t>20</w:t>
                  </w:r>
                </w:p>
              </w:tc>
              <w:tc>
                <w:tcPr>
                  <w:tcW w:w="526" w:type="dxa"/>
                  <w:tcBorders>
                    <w:tl2br w:val="nil"/>
                    <w:tr2bl w:val="nil"/>
                  </w:tcBorders>
                  <w:vAlign w:val="center"/>
                </w:tcPr>
                <w:p w14:paraId="120EDA98">
                  <w:pPr>
                    <w:pStyle w:val="51"/>
                    <w:rPr>
                      <w:color w:val="auto"/>
                    </w:rPr>
                  </w:pPr>
                  <w:r>
                    <w:rPr>
                      <w:color w:val="auto"/>
                    </w:rPr>
                    <w:t xml:space="preserve">60.98 </w:t>
                  </w:r>
                </w:p>
              </w:tc>
              <w:tc>
                <w:tcPr>
                  <w:tcW w:w="526" w:type="dxa"/>
                  <w:tcBorders>
                    <w:tl2br w:val="nil"/>
                    <w:tr2bl w:val="nil"/>
                  </w:tcBorders>
                  <w:vAlign w:val="center"/>
                </w:tcPr>
                <w:p w14:paraId="4E696342">
                  <w:pPr>
                    <w:pStyle w:val="51"/>
                    <w:rPr>
                      <w:color w:val="auto"/>
                    </w:rPr>
                  </w:pPr>
                  <w:r>
                    <w:rPr>
                      <w:color w:val="auto"/>
                    </w:rPr>
                    <w:t xml:space="preserve">60.91 </w:t>
                  </w:r>
                </w:p>
              </w:tc>
              <w:tc>
                <w:tcPr>
                  <w:tcW w:w="526" w:type="dxa"/>
                  <w:tcBorders>
                    <w:tl2br w:val="nil"/>
                    <w:tr2bl w:val="nil"/>
                  </w:tcBorders>
                  <w:vAlign w:val="center"/>
                </w:tcPr>
                <w:p w14:paraId="4DFF69B4">
                  <w:pPr>
                    <w:pStyle w:val="51"/>
                    <w:rPr>
                      <w:color w:val="auto"/>
                    </w:rPr>
                  </w:pPr>
                  <w:r>
                    <w:rPr>
                      <w:color w:val="auto"/>
                    </w:rPr>
                    <w:t xml:space="preserve">60.98 </w:t>
                  </w:r>
                </w:p>
              </w:tc>
              <w:tc>
                <w:tcPr>
                  <w:tcW w:w="542" w:type="dxa"/>
                  <w:tcBorders>
                    <w:tl2br w:val="nil"/>
                    <w:tr2bl w:val="nil"/>
                  </w:tcBorders>
                  <w:vAlign w:val="center"/>
                </w:tcPr>
                <w:p w14:paraId="13E82316">
                  <w:pPr>
                    <w:pStyle w:val="51"/>
                    <w:rPr>
                      <w:color w:val="auto"/>
                    </w:rPr>
                  </w:pPr>
                  <w:r>
                    <w:rPr>
                      <w:color w:val="auto"/>
                    </w:rPr>
                    <w:t xml:space="preserve">60.87 </w:t>
                  </w:r>
                </w:p>
              </w:tc>
              <w:tc>
                <w:tcPr>
                  <w:tcW w:w="188" w:type="pct"/>
                  <w:tcBorders>
                    <w:tl2br w:val="nil"/>
                    <w:tr2bl w:val="nil"/>
                  </w:tcBorders>
                  <w:vAlign w:val="center"/>
                </w:tcPr>
                <w:p w14:paraId="284D7922">
                  <w:pPr>
                    <w:pStyle w:val="51"/>
                    <w:rPr>
                      <w:color w:val="auto"/>
                    </w:rPr>
                  </w:pPr>
                  <w:r>
                    <w:rPr>
                      <w:color w:val="auto"/>
                    </w:rPr>
                    <w:t>1m</w:t>
                  </w:r>
                </w:p>
              </w:tc>
            </w:tr>
            <w:tr w14:paraId="5E91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5" w:type="pct"/>
                  <w:tcBorders>
                    <w:tl2br w:val="nil"/>
                    <w:tr2bl w:val="nil"/>
                  </w:tcBorders>
                  <w:vAlign w:val="center"/>
                </w:tcPr>
                <w:p w14:paraId="53D864A2">
                  <w:pPr>
                    <w:pStyle w:val="51"/>
                    <w:rPr>
                      <w:color w:val="auto"/>
                    </w:rPr>
                  </w:pPr>
                  <w:r>
                    <w:rPr>
                      <w:rFonts w:hint="eastAsia"/>
                      <w:color w:val="auto"/>
                    </w:rPr>
                    <w:t>2</w:t>
                  </w:r>
                </w:p>
              </w:tc>
              <w:tc>
                <w:tcPr>
                  <w:tcW w:w="278" w:type="pct"/>
                  <w:tcBorders>
                    <w:tl2br w:val="nil"/>
                    <w:tr2bl w:val="nil"/>
                  </w:tcBorders>
                  <w:vAlign w:val="center"/>
                </w:tcPr>
                <w:p w14:paraId="26D0EBC3">
                  <w:pPr>
                    <w:pStyle w:val="51"/>
                    <w:rPr>
                      <w:color w:val="auto"/>
                    </w:rPr>
                  </w:pPr>
                  <w:r>
                    <w:rPr>
                      <w:rFonts w:hint="eastAsia"/>
                      <w:color w:val="auto"/>
                    </w:rPr>
                    <w:t>2#厂房</w:t>
                  </w:r>
                </w:p>
              </w:tc>
              <w:tc>
                <w:tcPr>
                  <w:tcW w:w="264" w:type="pct"/>
                  <w:tcBorders>
                    <w:tl2br w:val="nil"/>
                    <w:tr2bl w:val="nil"/>
                  </w:tcBorders>
                  <w:vAlign w:val="center"/>
                </w:tcPr>
                <w:p w14:paraId="6B145A65">
                  <w:pPr>
                    <w:pStyle w:val="51"/>
                    <w:rPr>
                      <w:color w:val="auto"/>
                    </w:rPr>
                  </w:pPr>
                  <w:r>
                    <w:rPr>
                      <w:rFonts w:hint="eastAsia"/>
                      <w:color w:val="auto"/>
                    </w:rPr>
                    <w:t>加弹机</w:t>
                  </w:r>
                </w:p>
              </w:tc>
              <w:tc>
                <w:tcPr>
                  <w:tcW w:w="204" w:type="pct"/>
                  <w:tcBorders>
                    <w:tl2br w:val="nil"/>
                    <w:tr2bl w:val="nil"/>
                  </w:tcBorders>
                  <w:vAlign w:val="center"/>
                </w:tcPr>
                <w:p w14:paraId="04B49775">
                  <w:pPr>
                    <w:pStyle w:val="51"/>
                    <w:rPr>
                      <w:color w:val="auto"/>
                    </w:rPr>
                  </w:pPr>
                  <w:r>
                    <w:rPr>
                      <w:rFonts w:hint="eastAsia"/>
                      <w:color w:val="auto"/>
                    </w:rPr>
                    <w:t>20</w:t>
                  </w:r>
                </w:p>
              </w:tc>
              <w:tc>
                <w:tcPr>
                  <w:tcW w:w="498" w:type="pct"/>
                  <w:tcBorders>
                    <w:tl2br w:val="nil"/>
                    <w:tr2bl w:val="nil"/>
                  </w:tcBorders>
                  <w:vAlign w:val="center"/>
                </w:tcPr>
                <w:p w14:paraId="4883CD3B">
                  <w:pPr>
                    <w:pStyle w:val="51"/>
                    <w:rPr>
                      <w:color w:val="auto"/>
                    </w:rPr>
                  </w:pPr>
                  <w:r>
                    <w:rPr>
                      <w:rFonts w:hint="eastAsia"/>
                      <w:color w:val="auto"/>
                    </w:rPr>
                    <w:t>85（</w:t>
                  </w:r>
                  <w:r>
                    <w:rPr>
                      <w:color w:val="auto"/>
                    </w:rPr>
                    <w:t>点声源组等效后</w:t>
                  </w:r>
                  <w:r>
                    <w:rPr>
                      <w:rFonts w:hint="eastAsia"/>
                      <w:color w:val="auto"/>
                    </w:rPr>
                    <w:t>98.0）</w:t>
                  </w:r>
                </w:p>
              </w:tc>
              <w:tc>
                <w:tcPr>
                  <w:tcW w:w="306" w:type="pct"/>
                  <w:vMerge w:val="continue"/>
                  <w:tcBorders>
                    <w:tl2br w:val="nil"/>
                    <w:tr2bl w:val="nil"/>
                  </w:tcBorders>
                  <w:vAlign w:val="center"/>
                </w:tcPr>
                <w:p w14:paraId="1FE1E145">
                  <w:pPr>
                    <w:pStyle w:val="51"/>
                    <w:rPr>
                      <w:color w:val="auto"/>
                    </w:rPr>
                  </w:pPr>
                </w:p>
              </w:tc>
              <w:tc>
                <w:tcPr>
                  <w:tcW w:w="149" w:type="pct"/>
                  <w:tcBorders>
                    <w:tl2br w:val="nil"/>
                    <w:tr2bl w:val="nil"/>
                  </w:tcBorders>
                  <w:vAlign w:val="center"/>
                </w:tcPr>
                <w:p w14:paraId="469E49EF">
                  <w:pPr>
                    <w:pStyle w:val="51"/>
                    <w:rPr>
                      <w:color w:val="auto"/>
                    </w:rPr>
                  </w:pPr>
                  <w:r>
                    <w:rPr>
                      <w:rFonts w:hint="eastAsia"/>
                      <w:color w:val="auto"/>
                    </w:rPr>
                    <w:t>113</w:t>
                  </w:r>
                </w:p>
              </w:tc>
              <w:tc>
                <w:tcPr>
                  <w:tcW w:w="149" w:type="pct"/>
                  <w:tcBorders>
                    <w:tl2br w:val="nil"/>
                    <w:tr2bl w:val="nil"/>
                  </w:tcBorders>
                  <w:vAlign w:val="center"/>
                </w:tcPr>
                <w:p w14:paraId="67EBAE53">
                  <w:pPr>
                    <w:pStyle w:val="51"/>
                    <w:rPr>
                      <w:color w:val="auto"/>
                    </w:rPr>
                  </w:pPr>
                  <w:r>
                    <w:rPr>
                      <w:rFonts w:hint="eastAsia"/>
                      <w:color w:val="auto"/>
                    </w:rPr>
                    <w:t>38</w:t>
                  </w:r>
                </w:p>
              </w:tc>
              <w:tc>
                <w:tcPr>
                  <w:tcW w:w="152" w:type="pct"/>
                  <w:tcBorders>
                    <w:tl2br w:val="nil"/>
                    <w:tr2bl w:val="nil"/>
                  </w:tcBorders>
                  <w:vAlign w:val="center"/>
                </w:tcPr>
                <w:p w14:paraId="70FE9898">
                  <w:pPr>
                    <w:pStyle w:val="51"/>
                    <w:rPr>
                      <w:color w:val="auto"/>
                    </w:rPr>
                  </w:pPr>
                  <w:r>
                    <w:rPr>
                      <w:color w:val="auto"/>
                    </w:rPr>
                    <w:t>1</w:t>
                  </w:r>
                </w:p>
              </w:tc>
              <w:tc>
                <w:tcPr>
                  <w:tcW w:w="158" w:type="pct"/>
                  <w:tcBorders>
                    <w:tl2br w:val="nil"/>
                    <w:tr2bl w:val="nil"/>
                  </w:tcBorders>
                  <w:vAlign w:val="center"/>
                </w:tcPr>
                <w:p w14:paraId="63A98265">
                  <w:pPr>
                    <w:pStyle w:val="51"/>
                    <w:rPr>
                      <w:color w:val="auto"/>
                    </w:rPr>
                  </w:pPr>
                  <w:r>
                    <w:rPr>
                      <w:color w:val="auto"/>
                    </w:rPr>
                    <w:t>20</w:t>
                  </w:r>
                </w:p>
              </w:tc>
              <w:tc>
                <w:tcPr>
                  <w:tcW w:w="158" w:type="pct"/>
                  <w:tcBorders>
                    <w:tl2br w:val="nil"/>
                    <w:tr2bl w:val="nil"/>
                  </w:tcBorders>
                  <w:vAlign w:val="center"/>
                </w:tcPr>
                <w:p w14:paraId="1B0E1227">
                  <w:pPr>
                    <w:pStyle w:val="51"/>
                    <w:rPr>
                      <w:color w:val="auto"/>
                    </w:rPr>
                  </w:pPr>
                  <w:r>
                    <w:rPr>
                      <w:color w:val="auto"/>
                    </w:rPr>
                    <w:t>14</w:t>
                  </w:r>
                </w:p>
              </w:tc>
              <w:tc>
                <w:tcPr>
                  <w:tcW w:w="158" w:type="pct"/>
                  <w:tcBorders>
                    <w:tl2br w:val="nil"/>
                    <w:tr2bl w:val="nil"/>
                  </w:tcBorders>
                  <w:vAlign w:val="center"/>
                </w:tcPr>
                <w:p w14:paraId="2F9213D5">
                  <w:pPr>
                    <w:pStyle w:val="51"/>
                    <w:rPr>
                      <w:color w:val="auto"/>
                    </w:rPr>
                  </w:pPr>
                  <w:r>
                    <w:rPr>
                      <w:color w:val="auto"/>
                    </w:rPr>
                    <w:t>20</w:t>
                  </w:r>
                </w:p>
              </w:tc>
              <w:tc>
                <w:tcPr>
                  <w:tcW w:w="163" w:type="pct"/>
                  <w:tcBorders>
                    <w:tl2br w:val="nil"/>
                    <w:tr2bl w:val="nil"/>
                  </w:tcBorders>
                  <w:vAlign w:val="center"/>
                </w:tcPr>
                <w:p w14:paraId="6DB8492D">
                  <w:pPr>
                    <w:pStyle w:val="51"/>
                    <w:rPr>
                      <w:color w:val="auto"/>
                    </w:rPr>
                  </w:pPr>
                  <w:r>
                    <w:rPr>
                      <w:color w:val="auto"/>
                    </w:rPr>
                    <w:t>116</w:t>
                  </w:r>
                </w:p>
              </w:tc>
              <w:tc>
                <w:tcPr>
                  <w:tcW w:w="555" w:type="dxa"/>
                  <w:tcBorders>
                    <w:tl2br w:val="nil"/>
                    <w:tr2bl w:val="nil"/>
                  </w:tcBorders>
                  <w:vAlign w:val="center"/>
                </w:tcPr>
                <w:p w14:paraId="38D23045">
                  <w:pPr>
                    <w:pStyle w:val="51"/>
                    <w:rPr>
                      <w:color w:val="auto"/>
                    </w:rPr>
                  </w:pPr>
                  <w:r>
                    <w:rPr>
                      <w:color w:val="auto"/>
                    </w:rPr>
                    <w:t xml:space="preserve">79.04 </w:t>
                  </w:r>
                </w:p>
              </w:tc>
              <w:tc>
                <w:tcPr>
                  <w:tcW w:w="555" w:type="dxa"/>
                  <w:tcBorders>
                    <w:tl2br w:val="nil"/>
                    <w:tr2bl w:val="nil"/>
                  </w:tcBorders>
                  <w:vAlign w:val="center"/>
                </w:tcPr>
                <w:p w14:paraId="285B59E5">
                  <w:pPr>
                    <w:pStyle w:val="51"/>
                    <w:rPr>
                      <w:color w:val="auto"/>
                    </w:rPr>
                  </w:pPr>
                  <w:r>
                    <w:rPr>
                      <w:color w:val="auto"/>
                    </w:rPr>
                    <w:t xml:space="preserve">79.04 </w:t>
                  </w:r>
                </w:p>
              </w:tc>
              <w:tc>
                <w:tcPr>
                  <w:tcW w:w="555" w:type="dxa"/>
                  <w:tcBorders>
                    <w:tl2br w:val="nil"/>
                    <w:tr2bl w:val="nil"/>
                  </w:tcBorders>
                  <w:vAlign w:val="center"/>
                </w:tcPr>
                <w:p w14:paraId="3925EE97">
                  <w:pPr>
                    <w:pStyle w:val="51"/>
                    <w:rPr>
                      <w:color w:val="auto"/>
                    </w:rPr>
                  </w:pPr>
                  <w:r>
                    <w:rPr>
                      <w:color w:val="auto"/>
                    </w:rPr>
                    <w:t xml:space="preserve">79.04 </w:t>
                  </w:r>
                </w:p>
              </w:tc>
              <w:tc>
                <w:tcPr>
                  <w:tcW w:w="558" w:type="dxa"/>
                  <w:tcBorders>
                    <w:tl2br w:val="nil"/>
                    <w:tr2bl w:val="nil"/>
                  </w:tcBorders>
                  <w:vAlign w:val="center"/>
                </w:tcPr>
                <w:p w14:paraId="6ECE4377">
                  <w:pPr>
                    <w:pStyle w:val="51"/>
                    <w:rPr>
                      <w:color w:val="auto"/>
                    </w:rPr>
                  </w:pPr>
                  <w:r>
                    <w:rPr>
                      <w:color w:val="auto"/>
                    </w:rPr>
                    <w:t xml:space="preserve">78.90 </w:t>
                  </w:r>
                </w:p>
              </w:tc>
              <w:tc>
                <w:tcPr>
                  <w:tcW w:w="158" w:type="pct"/>
                  <w:vMerge w:val="continue"/>
                  <w:tcBorders>
                    <w:tl2br w:val="nil"/>
                    <w:tr2bl w:val="nil"/>
                  </w:tcBorders>
                  <w:vAlign w:val="center"/>
                </w:tcPr>
                <w:p w14:paraId="554A17E8">
                  <w:pPr>
                    <w:pStyle w:val="51"/>
                    <w:rPr>
                      <w:color w:val="auto"/>
                    </w:rPr>
                  </w:pPr>
                </w:p>
              </w:tc>
              <w:tc>
                <w:tcPr>
                  <w:tcW w:w="250" w:type="pct"/>
                  <w:tcBorders>
                    <w:tl2br w:val="nil"/>
                    <w:tr2bl w:val="nil"/>
                  </w:tcBorders>
                  <w:vAlign w:val="center"/>
                </w:tcPr>
                <w:p w14:paraId="770CFE7A">
                  <w:pPr>
                    <w:pStyle w:val="51"/>
                    <w:rPr>
                      <w:color w:val="auto"/>
                    </w:rPr>
                  </w:pPr>
                  <w:r>
                    <w:rPr>
                      <w:color w:val="auto"/>
                    </w:rPr>
                    <w:t>20</w:t>
                  </w:r>
                </w:p>
              </w:tc>
              <w:tc>
                <w:tcPr>
                  <w:tcW w:w="526" w:type="dxa"/>
                  <w:tcBorders>
                    <w:tl2br w:val="nil"/>
                    <w:tr2bl w:val="nil"/>
                  </w:tcBorders>
                  <w:vAlign w:val="center"/>
                </w:tcPr>
                <w:p w14:paraId="524DD6E3">
                  <w:pPr>
                    <w:pStyle w:val="51"/>
                    <w:rPr>
                      <w:color w:val="auto"/>
                    </w:rPr>
                  </w:pPr>
                  <w:r>
                    <w:rPr>
                      <w:color w:val="auto"/>
                    </w:rPr>
                    <w:t xml:space="preserve">53.04 </w:t>
                  </w:r>
                </w:p>
              </w:tc>
              <w:tc>
                <w:tcPr>
                  <w:tcW w:w="526" w:type="dxa"/>
                  <w:tcBorders>
                    <w:tl2br w:val="nil"/>
                    <w:tr2bl w:val="nil"/>
                  </w:tcBorders>
                  <w:vAlign w:val="center"/>
                </w:tcPr>
                <w:p w14:paraId="4353EA1C">
                  <w:pPr>
                    <w:pStyle w:val="51"/>
                    <w:rPr>
                      <w:color w:val="auto"/>
                    </w:rPr>
                  </w:pPr>
                  <w:r>
                    <w:rPr>
                      <w:color w:val="auto"/>
                    </w:rPr>
                    <w:t xml:space="preserve">53.04 </w:t>
                  </w:r>
                </w:p>
              </w:tc>
              <w:tc>
                <w:tcPr>
                  <w:tcW w:w="526" w:type="dxa"/>
                  <w:tcBorders>
                    <w:tl2br w:val="nil"/>
                    <w:tr2bl w:val="nil"/>
                  </w:tcBorders>
                  <w:vAlign w:val="center"/>
                </w:tcPr>
                <w:p w14:paraId="482CE292">
                  <w:pPr>
                    <w:pStyle w:val="51"/>
                    <w:rPr>
                      <w:color w:val="auto"/>
                    </w:rPr>
                  </w:pPr>
                  <w:r>
                    <w:rPr>
                      <w:color w:val="auto"/>
                    </w:rPr>
                    <w:t xml:space="preserve">53.04 </w:t>
                  </w:r>
                </w:p>
              </w:tc>
              <w:tc>
                <w:tcPr>
                  <w:tcW w:w="542" w:type="dxa"/>
                  <w:tcBorders>
                    <w:tl2br w:val="nil"/>
                    <w:tr2bl w:val="nil"/>
                  </w:tcBorders>
                  <w:vAlign w:val="center"/>
                </w:tcPr>
                <w:p w14:paraId="08428D5E">
                  <w:pPr>
                    <w:pStyle w:val="51"/>
                    <w:rPr>
                      <w:color w:val="auto"/>
                    </w:rPr>
                  </w:pPr>
                  <w:r>
                    <w:rPr>
                      <w:color w:val="auto"/>
                    </w:rPr>
                    <w:t xml:space="preserve">52.90 </w:t>
                  </w:r>
                </w:p>
              </w:tc>
              <w:tc>
                <w:tcPr>
                  <w:tcW w:w="188" w:type="pct"/>
                  <w:tcBorders>
                    <w:tl2br w:val="nil"/>
                    <w:tr2bl w:val="nil"/>
                  </w:tcBorders>
                  <w:vAlign w:val="center"/>
                </w:tcPr>
                <w:p w14:paraId="7872E1B8">
                  <w:pPr>
                    <w:pStyle w:val="51"/>
                    <w:rPr>
                      <w:color w:val="auto"/>
                    </w:rPr>
                  </w:pPr>
                  <w:r>
                    <w:rPr>
                      <w:color w:val="auto"/>
                    </w:rPr>
                    <w:t>1m</w:t>
                  </w:r>
                </w:p>
              </w:tc>
            </w:tr>
            <w:tr w14:paraId="3774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135" w:type="pct"/>
                  <w:tcBorders>
                    <w:tl2br w:val="nil"/>
                    <w:tr2bl w:val="nil"/>
                  </w:tcBorders>
                  <w:vAlign w:val="center"/>
                </w:tcPr>
                <w:p w14:paraId="76A6111B">
                  <w:pPr>
                    <w:pStyle w:val="51"/>
                    <w:rPr>
                      <w:color w:val="auto"/>
                    </w:rPr>
                  </w:pPr>
                  <w:r>
                    <w:rPr>
                      <w:rFonts w:hint="eastAsia"/>
                      <w:color w:val="auto"/>
                    </w:rPr>
                    <w:t>3</w:t>
                  </w:r>
                </w:p>
              </w:tc>
              <w:tc>
                <w:tcPr>
                  <w:tcW w:w="278" w:type="pct"/>
                  <w:tcBorders>
                    <w:tl2br w:val="nil"/>
                    <w:tr2bl w:val="nil"/>
                  </w:tcBorders>
                  <w:vAlign w:val="center"/>
                </w:tcPr>
                <w:p w14:paraId="0DFEC45E">
                  <w:pPr>
                    <w:pStyle w:val="51"/>
                    <w:rPr>
                      <w:color w:val="auto"/>
                    </w:rPr>
                  </w:pPr>
                  <w:r>
                    <w:rPr>
                      <w:rFonts w:hint="eastAsia"/>
                      <w:color w:val="auto"/>
                    </w:rPr>
                    <w:t>2#厂房</w:t>
                  </w:r>
                </w:p>
              </w:tc>
              <w:tc>
                <w:tcPr>
                  <w:tcW w:w="264" w:type="pct"/>
                  <w:tcBorders>
                    <w:tl2br w:val="nil"/>
                    <w:tr2bl w:val="nil"/>
                  </w:tcBorders>
                  <w:vAlign w:val="center"/>
                </w:tcPr>
                <w:p w14:paraId="01DC7273">
                  <w:pPr>
                    <w:pStyle w:val="51"/>
                    <w:rPr>
                      <w:color w:val="auto"/>
                    </w:rPr>
                  </w:pPr>
                  <w:r>
                    <w:rPr>
                      <w:rFonts w:hint="eastAsia"/>
                      <w:color w:val="auto"/>
                    </w:rPr>
                    <w:t>整经机</w:t>
                  </w:r>
                </w:p>
              </w:tc>
              <w:tc>
                <w:tcPr>
                  <w:tcW w:w="204" w:type="pct"/>
                  <w:tcBorders>
                    <w:tl2br w:val="nil"/>
                    <w:tr2bl w:val="nil"/>
                  </w:tcBorders>
                  <w:vAlign w:val="center"/>
                </w:tcPr>
                <w:p w14:paraId="7C483919">
                  <w:pPr>
                    <w:pStyle w:val="51"/>
                    <w:rPr>
                      <w:color w:val="auto"/>
                    </w:rPr>
                  </w:pPr>
                  <w:r>
                    <w:rPr>
                      <w:rFonts w:hint="eastAsia"/>
                      <w:color w:val="auto"/>
                    </w:rPr>
                    <w:t>16</w:t>
                  </w:r>
                </w:p>
              </w:tc>
              <w:tc>
                <w:tcPr>
                  <w:tcW w:w="498" w:type="pct"/>
                  <w:tcBorders>
                    <w:tl2br w:val="nil"/>
                    <w:tr2bl w:val="nil"/>
                  </w:tcBorders>
                  <w:vAlign w:val="center"/>
                </w:tcPr>
                <w:p w14:paraId="353B73B0">
                  <w:pPr>
                    <w:pStyle w:val="51"/>
                    <w:rPr>
                      <w:color w:val="auto"/>
                    </w:rPr>
                  </w:pPr>
                  <w:r>
                    <w:rPr>
                      <w:rFonts w:hint="eastAsia"/>
                      <w:color w:val="auto"/>
                    </w:rPr>
                    <w:t>75（</w:t>
                  </w:r>
                  <w:r>
                    <w:rPr>
                      <w:color w:val="auto"/>
                    </w:rPr>
                    <w:t>点声源组等效后</w:t>
                  </w:r>
                  <w:r>
                    <w:rPr>
                      <w:rFonts w:hint="eastAsia"/>
                      <w:color w:val="auto"/>
                    </w:rPr>
                    <w:t>87.0）</w:t>
                  </w:r>
                </w:p>
              </w:tc>
              <w:tc>
                <w:tcPr>
                  <w:tcW w:w="306" w:type="pct"/>
                  <w:vMerge w:val="continue"/>
                  <w:tcBorders>
                    <w:tl2br w:val="nil"/>
                    <w:tr2bl w:val="nil"/>
                  </w:tcBorders>
                  <w:vAlign w:val="center"/>
                </w:tcPr>
                <w:p w14:paraId="0D5E07F1">
                  <w:pPr>
                    <w:pStyle w:val="51"/>
                    <w:rPr>
                      <w:color w:val="auto"/>
                    </w:rPr>
                  </w:pPr>
                </w:p>
              </w:tc>
              <w:tc>
                <w:tcPr>
                  <w:tcW w:w="149" w:type="pct"/>
                  <w:tcBorders>
                    <w:tl2br w:val="nil"/>
                    <w:tr2bl w:val="nil"/>
                  </w:tcBorders>
                  <w:vAlign w:val="center"/>
                </w:tcPr>
                <w:p w14:paraId="7157EF46">
                  <w:pPr>
                    <w:pStyle w:val="51"/>
                    <w:rPr>
                      <w:color w:val="auto"/>
                    </w:rPr>
                  </w:pPr>
                  <w:r>
                    <w:rPr>
                      <w:rFonts w:hint="eastAsia"/>
                      <w:color w:val="auto"/>
                    </w:rPr>
                    <w:t>113</w:t>
                  </w:r>
                </w:p>
              </w:tc>
              <w:tc>
                <w:tcPr>
                  <w:tcW w:w="149" w:type="pct"/>
                  <w:tcBorders>
                    <w:tl2br w:val="nil"/>
                    <w:tr2bl w:val="nil"/>
                  </w:tcBorders>
                  <w:vAlign w:val="center"/>
                </w:tcPr>
                <w:p w14:paraId="5610B53C">
                  <w:pPr>
                    <w:pStyle w:val="51"/>
                    <w:rPr>
                      <w:color w:val="auto"/>
                    </w:rPr>
                  </w:pPr>
                  <w:r>
                    <w:rPr>
                      <w:rFonts w:hint="eastAsia"/>
                      <w:color w:val="auto"/>
                    </w:rPr>
                    <w:t>115</w:t>
                  </w:r>
                </w:p>
              </w:tc>
              <w:tc>
                <w:tcPr>
                  <w:tcW w:w="152" w:type="pct"/>
                  <w:tcBorders>
                    <w:tl2br w:val="nil"/>
                    <w:tr2bl w:val="nil"/>
                  </w:tcBorders>
                  <w:vAlign w:val="center"/>
                </w:tcPr>
                <w:p w14:paraId="42ACEDF0">
                  <w:pPr>
                    <w:pStyle w:val="51"/>
                    <w:rPr>
                      <w:color w:val="auto"/>
                    </w:rPr>
                  </w:pPr>
                  <w:r>
                    <w:rPr>
                      <w:color w:val="auto"/>
                    </w:rPr>
                    <w:t>1</w:t>
                  </w:r>
                </w:p>
              </w:tc>
              <w:tc>
                <w:tcPr>
                  <w:tcW w:w="158" w:type="pct"/>
                  <w:tcBorders>
                    <w:tl2br w:val="nil"/>
                    <w:tr2bl w:val="nil"/>
                  </w:tcBorders>
                  <w:vAlign w:val="center"/>
                </w:tcPr>
                <w:p w14:paraId="39AD8139">
                  <w:pPr>
                    <w:pStyle w:val="51"/>
                    <w:rPr>
                      <w:color w:val="auto"/>
                    </w:rPr>
                  </w:pPr>
                  <w:r>
                    <w:rPr>
                      <w:color w:val="auto"/>
                    </w:rPr>
                    <w:t>20</w:t>
                  </w:r>
                </w:p>
              </w:tc>
              <w:tc>
                <w:tcPr>
                  <w:tcW w:w="158" w:type="pct"/>
                  <w:tcBorders>
                    <w:tl2br w:val="nil"/>
                    <w:tr2bl w:val="nil"/>
                  </w:tcBorders>
                  <w:vAlign w:val="center"/>
                </w:tcPr>
                <w:p w14:paraId="5871407A">
                  <w:pPr>
                    <w:pStyle w:val="51"/>
                    <w:rPr>
                      <w:color w:val="auto"/>
                    </w:rPr>
                  </w:pPr>
                  <w:r>
                    <w:rPr>
                      <w:color w:val="auto"/>
                    </w:rPr>
                    <w:t>84</w:t>
                  </w:r>
                </w:p>
              </w:tc>
              <w:tc>
                <w:tcPr>
                  <w:tcW w:w="158" w:type="pct"/>
                  <w:tcBorders>
                    <w:tl2br w:val="nil"/>
                    <w:tr2bl w:val="nil"/>
                  </w:tcBorders>
                  <w:vAlign w:val="center"/>
                </w:tcPr>
                <w:p w14:paraId="7C663ABB">
                  <w:pPr>
                    <w:pStyle w:val="51"/>
                    <w:rPr>
                      <w:color w:val="auto"/>
                    </w:rPr>
                  </w:pPr>
                  <w:r>
                    <w:rPr>
                      <w:color w:val="auto"/>
                    </w:rPr>
                    <w:t>20</w:t>
                  </w:r>
                </w:p>
              </w:tc>
              <w:tc>
                <w:tcPr>
                  <w:tcW w:w="163" w:type="pct"/>
                  <w:tcBorders>
                    <w:tl2br w:val="nil"/>
                    <w:tr2bl w:val="nil"/>
                  </w:tcBorders>
                  <w:vAlign w:val="center"/>
                </w:tcPr>
                <w:p w14:paraId="594B4848">
                  <w:pPr>
                    <w:pStyle w:val="51"/>
                    <w:rPr>
                      <w:color w:val="auto"/>
                    </w:rPr>
                  </w:pPr>
                  <w:r>
                    <w:rPr>
                      <w:color w:val="auto"/>
                    </w:rPr>
                    <w:t>68</w:t>
                  </w:r>
                </w:p>
              </w:tc>
              <w:tc>
                <w:tcPr>
                  <w:tcW w:w="555" w:type="dxa"/>
                  <w:tcBorders>
                    <w:tl2br w:val="nil"/>
                    <w:tr2bl w:val="nil"/>
                  </w:tcBorders>
                  <w:vAlign w:val="center"/>
                </w:tcPr>
                <w:p w14:paraId="5A2CCBEE">
                  <w:pPr>
                    <w:pStyle w:val="51"/>
                    <w:rPr>
                      <w:color w:val="auto"/>
                    </w:rPr>
                  </w:pPr>
                  <w:r>
                    <w:rPr>
                      <w:color w:val="auto"/>
                    </w:rPr>
                    <w:t xml:space="preserve">68.07 </w:t>
                  </w:r>
                </w:p>
              </w:tc>
              <w:tc>
                <w:tcPr>
                  <w:tcW w:w="555" w:type="dxa"/>
                  <w:tcBorders>
                    <w:tl2br w:val="nil"/>
                    <w:tr2bl w:val="nil"/>
                  </w:tcBorders>
                  <w:vAlign w:val="center"/>
                </w:tcPr>
                <w:p w14:paraId="057C62B4">
                  <w:pPr>
                    <w:pStyle w:val="51"/>
                    <w:rPr>
                      <w:color w:val="auto"/>
                    </w:rPr>
                  </w:pPr>
                  <w:r>
                    <w:rPr>
                      <w:color w:val="auto"/>
                    </w:rPr>
                    <w:t xml:space="preserve">67.93 </w:t>
                  </w:r>
                </w:p>
              </w:tc>
              <w:tc>
                <w:tcPr>
                  <w:tcW w:w="555" w:type="dxa"/>
                  <w:tcBorders>
                    <w:tl2br w:val="nil"/>
                    <w:tr2bl w:val="nil"/>
                  </w:tcBorders>
                  <w:vAlign w:val="center"/>
                </w:tcPr>
                <w:p w14:paraId="2F19D740">
                  <w:pPr>
                    <w:pStyle w:val="51"/>
                    <w:rPr>
                      <w:color w:val="auto"/>
                    </w:rPr>
                  </w:pPr>
                  <w:r>
                    <w:rPr>
                      <w:color w:val="auto"/>
                    </w:rPr>
                    <w:t xml:space="preserve">68.07 </w:t>
                  </w:r>
                </w:p>
              </w:tc>
              <w:tc>
                <w:tcPr>
                  <w:tcW w:w="558" w:type="dxa"/>
                  <w:tcBorders>
                    <w:tl2br w:val="nil"/>
                    <w:tr2bl w:val="nil"/>
                  </w:tcBorders>
                  <w:vAlign w:val="center"/>
                </w:tcPr>
                <w:p w14:paraId="5BB77061">
                  <w:pPr>
                    <w:pStyle w:val="51"/>
                    <w:rPr>
                      <w:color w:val="auto"/>
                    </w:rPr>
                  </w:pPr>
                  <w:r>
                    <w:rPr>
                      <w:color w:val="auto"/>
                    </w:rPr>
                    <w:t xml:space="preserve">67.93 </w:t>
                  </w:r>
                </w:p>
              </w:tc>
              <w:tc>
                <w:tcPr>
                  <w:tcW w:w="158" w:type="pct"/>
                  <w:vMerge w:val="continue"/>
                  <w:tcBorders>
                    <w:tl2br w:val="nil"/>
                    <w:tr2bl w:val="nil"/>
                  </w:tcBorders>
                  <w:vAlign w:val="center"/>
                </w:tcPr>
                <w:p w14:paraId="32B64923">
                  <w:pPr>
                    <w:pStyle w:val="51"/>
                    <w:rPr>
                      <w:color w:val="auto"/>
                    </w:rPr>
                  </w:pPr>
                </w:p>
              </w:tc>
              <w:tc>
                <w:tcPr>
                  <w:tcW w:w="250" w:type="pct"/>
                  <w:tcBorders>
                    <w:tl2br w:val="nil"/>
                    <w:tr2bl w:val="nil"/>
                  </w:tcBorders>
                  <w:vAlign w:val="center"/>
                </w:tcPr>
                <w:p w14:paraId="57205BD3">
                  <w:pPr>
                    <w:pStyle w:val="51"/>
                    <w:rPr>
                      <w:color w:val="auto"/>
                    </w:rPr>
                  </w:pPr>
                  <w:r>
                    <w:rPr>
                      <w:color w:val="auto"/>
                    </w:rPr>
                    <w:t>20</w:t>
                  </w:r>
                </w:p>
              </w:tc>
              <w:tc>
                <w:tcPr>
                  <w:tcW w:w="526" w:type="dxa"/>
                  <w:tcBorders>
                    <w:tl2br w:val="nil"/>
                    <w:tr2bl w:val="nil"/>
                  </w:tcBorders>
                  <w:vAlign w:val="center"/>
                </w:tcPr>
                <w:p w14:paraId="3DA685CC">
                  <w:pPr>
                    <w:pStyle w:val="51"/>
                    <w:rPr>
                      <w:color w:val="auto"/>
                    </w:rPr>
                  </w:pPr>
                  <w:r>
                    <w:rPr>
                      <w:color w:val="auto"/>
                    </w:rPr>
                    <w:t xml:space="preserve">42.07 </w:t>
                  </w:r>
                </w:p>
              </w:tc>
              <w:tc>
                <w:tcPr>
                  <w:tcW w:w="526" w:type="dxa"/>
                  <w:tcBorders>
                    <w:tl2br w:val="nil"/>
                    <w:tr2bl w:val="nil"/>
                  </w:tcBorders>
                  <w:vAlign w:val="center"/>
                </w:tcPr>
                <w:p w14:paraId="3FE8DF5F">
                  <w:pPr>
                    <w:pStyle w:val="51"/>
                    <w:rPr>
                      <w:color w:val="auto"/>
                    </w:rPr>
                  </w:pPr>
                  <w:r>
                    <w:rPr>
                      <w:color w:val="auto"/>
                    </w:rPr>
                    <w:t xml:space="preserve">41.93 </w:t>
                  </w:r>
                </w:p>
              </w:tc>
              <w:tc>
                <w:tcPr>
                  <w:tcW w:w="526" w:type="dxa"/>
                  <w:tcBorders>
                    <w:tl2br w:val="nil"/>
                    <w:tr2bl w:val="nil"/>
                  </w:tcBorders>
                  <w:vAlign w:val="center"/>
                </w:tcPr>
                <w:p w14:paraId="3E90B46A">
                  <w:pPr>
                    <w:pStyle w:val="51"/>
                    <w:rPr>
                      <w:color w:val="auto"/>
                    </w:rPr>
                  </w:pPr>
                  <w:r>
                    <w:rPr>
                      <w:color w:val="auto"/>
                    </w:rPr>
                    <w:t xml:space="preserve">42.07 </w:t>
                  </w:r>
                </w:p>
              </w:tc>
              <w:tc>
                <w:tcPr>
                  <w:tcW w:w="542" w:type="dxa"/>
                  <w:tcBorders>
                    <w:tl2br w:val="nil"/>
                    <w:tr2bl w:val="nil"/>
                  </w:tcBorders>
                  <w:vAlign w:val="center"/>
                </w:tcPr>
                <w:p w14:paraId="600F9672">
                  <w:pPr>
                    <w:pStyle w:val="51"/>
                    <w:rPr>
                      <w:color w:val="auto"/>
                    </w:rPr>
                  </w:pPr>
                  <w:r>
                    <w:rPr>
                      <w:color w:val="auto"/>
                    </w:rPr>
                    <w:t xml:space="preserve">41.93 </w:t>
                  </w:r>
                </w:p>
              </w:tc>
              <w:tc>
                <w:tcPr>
                  <w:tcW w:w="188" w:type="pct"/>
                  <w:tcBorders>
                    <w:tl2br w:val="nil"/>
                    <w:tr2bl w:val="nil"/>
                  </w:tcBorders>
                  <w:vAlign w:val="center"/>
                </w:tcPr>
                <w:p w14:paraId="7B41347F">
                  <w:pPr>
                    <w:pStyle w:val="51"/>
                    <w:rPr>
                      <w:color w:val="auto"/>
                    </w:rPr>
                  </w:pPr>
                  <w:r>
                    <w:rPr>
                      <w:color w:val="auto"/>
                    </w:rPr>
                    <w:t>1m</w:t>
                  </w:r>
                </w:p>
              </w:tc>
            </w:tr>
            <w:tr w14:paraId="4708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135" w:type="pct"/>
                  <w:tcBorders>
                    <w:tl2br w:val="nil"/>
                    <w:tr2bl w:val="nil"/>
                  </w:tcBorders>
                  <w:vAlign w:val="center"/>
                </w:tcPr>
                <w:p w14:paraId="37410656">
                  <w:pPr>
                    <w:pStyle w:val="51"/>
                    <w:rPr>
                      <w:color w:val="auto"/>
                    </w:rPr>
                  </w:pPr>
                  <w:r>
                    <w:rPr>
                      <w:rFonts w:hint="eastAsia"/>
                      <w:color w:val="auto"/>
                    </w:rPr>
                    <w:t>4</w:t>
                  </w:r>
                </w:p>
              </w:tc>
              <w:tc>
                <w:tcPr>
                  <w:tcW w:w="278" w:type="pct"/>
                  <w:tcBorders>
                    <w:tl2br w:val="nil"/>
                    <w:tr2bl w:val="nil"/>
                  </w:tcBorders>
                  <w:vAlign w:val="center"/>
                </w:tcPr>
                <w:p w14:paraId="7F62638B">
                  <w:pPr>
                    <w:pStyle w:val="51"/>
                    <w:rPr>
                      <w:color w:val="auto"/>
                    </w:rPr>
                  </w:pPr>
                  <w:r>
                    <w:rPr>
                      <w:rFonts w:hint="eastAsia"/>
                      <w:color w:val="auto"/>
                    </w:rPr>
                    <w:t>2#厂房</w:t>
                  </w:r>
                </w:p>
              </w:tc>
              <w:tc>
                <w:tcPr>
                  <w:tcW w:w="264" w:type="pct"/>
                  <w:tcBorders>
                    <w:tl2br w:val="nil"/>
                    <w:tr2bl w:val="nil"/>
                  </w:tcBorders>
                  <w:vAlign w:val="center"/>
                </w:tcPr>
                <w:p w14:paraId="4DBFCACF">
                  <w:pPr>
                    <w:pStyle w:val="51"/>
                    <w:rPr>
                      <w:color w:val="auto"/>
                    </w:rPr>
                  </w:pPr>
                  <w:r>
                    <w:rPr>
                      <w:rFonts w:hint="eastAsia"/>
                      <w:color w:val="auto"/>
                    </w:rPr>
                    <w:t>磨毛机</w:t>
                  </w:r>
                </w:p>
              </w:tc>
              <w:tc>
                <w:tcPr>
                  <w:tcW w:w="204" w:type="pct"/>
                  <w:tcBorders>
                    <w:tl2br w:val="nil"/>
                    <w:tr2bl w:val="nil"/>
                  </w:tcBorders>
                  <w:vAlign w:val="center"/>
                </w:tcPr>
                <w:p w14:paraId="63237476">
                  <w:pPr>
                    <w:pStyle w:val="51"/>
                    <w:rPr>
                      <w:color w:val="auto"/>
                    </w:rPr>
                  </w:pPr>
                  <w:r>
                    <w:rPr>
                      <w:rFonts w:hint="eastAsia"/>
                      <w:color w:val="auto"/>
                    </w:rPr>
                    <w:t>4</w:t>
                  </w:r>
                </w:p>
              </w:tc>
              <w:tc>
                <w:tcPr>
                  <w:tcW w:w="498" w:type="pct"/>
                  <w:tcBorders>
                    <w:tl2br w:val="nil"/>
                    <w:tr2bl w:val="nil"/>
                  </w:tcBorders>
                  <w:vAlign w:val="center"/>
                </w:tcPr>
                <w:p w14:paraId="07A6B307">
                  <w:pPr>
                    <w:pStyle w:val="51"/>
                    <w:rPr>
                      <w:color w:val="auto"/>
                    </w:rPr>
                  </w:pPr>
                  <w:r>
                    <w:rPr>
                      <w:rFonts w:hint="eastAsia"/>
                      <w:color w:val="auto"/>
                    </w:rPr>
                    <w:t>75（</w:t>
                  </w:r>
                  <w:r>
                    <w:rPr>
                      <w:color w:val="auto"/>
                    </w:rPr>
                    <w:t>点声源组等效后</w:t>
                  </w:r>
                  <w:r>
                    <w:rPr>
                      <w:rFonts w:hint="eastAsia"/>
                      <w:color w:val="auto"/>
                    </w:rPr>
                    <w:t>81.0）</w:t>
                  </w:r>
                </w:p>
              </w:tc>
              <w:tc>
                <w:tcPr>
                  <w:tcW w:w="306" w:type="pct"/>
                  <w:vMerge w:val="continue"/>
                  <w:tcBorders>
                    <w:tl2br w:val="nil"/>
                    <w:tr2bl w:val="nil"/>
                  </w:tcBorders>
                  <w:vAlign w:val="center"/>
                </w:tcPr>
                <w:p w14:paraId="4E9CB5EB">
                  <w:pPr>
                    <w:pStyle w:val="51"/>
                    <w:rPr>
                      <w:color w:val="auto"/>
                    </w:rPr>
                  </w:pPr>
                </w:p>
              </w:tc>
              <w:tc>
                <w:tcPr>
                  <w:tcW w:w="149" w:type="pct"/>
                  <w:tcBorders>
                    <w:tl2br w:val="nil"/>
                    <w:tr2bl w:val="nil"/>
                  </w:tcBorders>
                  <w:vAlign w:val="center"/>
                </w:tcPr>
                <w:p w14:paraId="23859D37">
                  <w:pPr>
                    <w:pStyle w:val="51"/>
                    <w:rPr>
                      <w:color w:val="auto"/>
                    </w:rPr>
                  </w:pPr>
                  <w:r>
                    <w:rPr>
                      <w:rFonts w:hint="eastAsia"/>
                      <w:color w:val="auto"/>
                    </w:rPr>
                    <w:t>113</w:t>
                  </w:r>
                </w:p>
              </w:tc>
              <w:tc>
                <w:tcPr>
                  <w:tcW w:w="149" w:type="pct"/>
                  <w:tcBorders>
                    <w:tl2br w:val="nil"/>
                    <w:tr2bl w:val="nil"/>
                  </w:tcBorders>
                  <w:vAlign w:val="center"/>
                </w:tcPr>
                <w:p w14:paraId="559A748B">
                  <w:pPr>
                    <w:pStyle w:val="51"/>
                    <w:rPr>
                      <w:color w:val="auto"/>
                    </w:rPr>
                  </w:pPr>
                  <w:r>
                    <w:rPr>
                      <w:rFonts w:hint="eastAsia"/>
                      <w:color w:val="auto"/>
                    </w:rPr>
                    <w:t>170</w:t>
                  </w:r>
                </w:p>
              </w:tc>
              <w:tc>
                <w:tcPr>
                  <w:tcW w:w="152" w:type="pct"/>
                  <w:tcBorders>
                    <w:tl2br w:val="nil"/>
                    <w:tr2bl w:val="nil"/>
                  </w:tcBorders>
                  <w:vAlign w:val="center"/>
                </w:tcPr>
                <w:p w14:paraId="29CF30A7">
                  <w:pPr>
                    <w:pStyle w:val="51"/>
                    <w:rPr>
                      <w:color w:val="auto"/>
                    </w:rPr>
                  </w:pPr>
                  <w:r>
                    <w:rPr>
                      <w:color w:val="auto"/>
                    </w:rPr>
                    <w:t>1</w:t>
                  </w:r>
                </w:p>
              </w:tc>
              <w:tc>
                <w:tcPr>
                  <w:tcW w:w="158" w:type="pct"/>
                  <w:tcBorders>
                    <w:tl2br w:val="nil"/>
                    <w:tr2bl w:val="nil"/>
                  </w:tcBorders>
                  <w:vAlign w:val="center"/>
                </w:tcPr>
                <w:p w14:paraId="5940D6F7">
                  <w:pPr>
                    <w:pStyle w:val="51"/>
                    <w:rPr>
                      <w:color w:val="auto"/>
                    </w:rPr>
                  </w:pPr>
                  <w:r>
                    <w:rPr>
                      <w:color w:val="auto"/>
                    </w:rPr>
                    <w:t>20</w:t>
                  </w:r>
                </w:p>
              </w:tc>
              <w:tc>
                <w:tcPr>
                  <w:tcW w:w="158" w:type="pct"/>
                  <w:tcBorders>
                    <w:tl2br w:val="nil"/>
                    <w:tr2bl w:val="nil"/>
                  </w:tcBorders>
                  <w:vAlign w:val="center"/>
                </w:tcPr>
                <w:p w14:paraId="6138EB25">
                  <w:pPr>
                    <w:pStyle w:val="51"/>
                    <w:rPr>
                      <w:color w:val="auto"/>
                    </w:rPr>
                  </w:pPr>
                  <w:r>
                    <w:rPr>
                      <w:color w:val="auto"/>
                    </w:rPr>
                    <w:t>134</w:t>
                  </w:r>
                </w:p>
              </w:tc>
              <w:tc>
                <w:tcPr>
                  <w:tcW w:w="158" w:type="pct"/>
                  <w:tcBorders>
                    <w:tl2br w:val="nil"/>
                    <w:tr2bl w:val="nil"/>
                  </w:tcBorders>
                  <w:vAlign w:val="center"/>
                </w:tcPr>
                <w:p w14:paraId="699F56DA">
                  <w:pPr>
                    <w:pStyle w:val="51"/>
                    <w:rPr>
                      <w:color w:val="auto"/>
                    </w:rPr>
                  </w:pPr>
                  <w:r>
                    <w:rPr>
                      <w:color w:val="auto"/>
                    </w:rPr>
                    <w:t>20</w:t>
                  </w:r>
                </w:p>
              </w:tc>
              <w:tc>
                <w:tcPr>
                  <w:tcW w:w="163" w:type="pct"/>
                  <w:tcBorders>
                    <w:tl2br w:val="nil"/>
                    <w:tr2bl w:val="nil"/>
                  </w:tcBorders>
                  <w:vAlign w:val="center"/>
                </w:tcPr>
                <w:p w14:paraId="414D62A4">
                  <w:pPr>
                    <w:pStyle w:val="51"/>
                    <w:rPr>
                      <w:color w:val="auto"/>
                    </w:rPr>
                  </w:pPr>
                  <w:r>
                    <w:rPr>
                      <w:color w:val="auto"/>
                    </w:rPr>
                    <w:t>40</w:t>
                  </w:r>
                </w:p>
              </w:tc>
              <w:tc>
                <w:tcPr>
                  <w:tcW w:w="555" w:type="dxa"/>
                  <w:tcBorders>
                    <w:tl2br w:val="nil"/>
                    <w:tr2bl w:val="nil"/>
                  </w:tcBorders>
                  <w:vAlign w:val="center"/>
                </w:tcPr>
                <w:p w14:paraId="5EBFB7A7">
                  <w:pPr>
                    <w:pStyle w:val="51"/>
                    <w:rPr>
                      <w:color w:val="auto"/>
                    </w:rPr>
                  </w:pPr>
                  <w:r>
                    <w:rPr>
                      <w:color w:val="auto"/>
                    </w:rPr>
                    <w:t xml:space="preserve">62.05 </w:t>
                  </w:r>
                </w:p>
              </w:tc>
              <w:tc>
                <w:tcPr>
                  <w:tcW w:w="555" w:type="dxa"/>
                  <w:tcBorders>
                    <w:tl2br w:val="nil"/>
                    <w:tr2bl w:val="nil"/>
                  </w:tcBorders>
                  <w:vAlign w:val="center"/>
                </w:tcPr>
                <w:p w14:paraId="6E30D957">
                  <w:pPr>
                    <w:pStyle w:val="51"/>
                    <w:rPr>
                      <w:color w:val="auto"/>
                    </w:rPr>
                  </w:pPr>
                  <w:r>
                    <w:rPr>
                      <w:color w:val="auto"/>
                    </w:rPr>
                    <w:t xml:space="preserve">61.91 </w:t>
                  </w:r>
                </w:p>
              </w:tc>
              <w:tc>
                <w:tcPr>
                  <w:tcW w:w="555" w:type="dxa"/>
                  <w:tcBorders>
                    <w:tl2br w:val="nil"/>
                    <w:tr2bl w:val="nil"/>
                  </w:tcBorders>
                  <w:vAlign w:val="center"/>
                </w:tcPr>
                <w:p w14:paraId="3311D0FC">
                  <w:pPr>
                    <w:pStyle w:val="51"/>
                    <w:rPr>
                      <w:color w:val="auto"/>
                    </w:rPr>
                  </w:pPr>
                  <w:r>
                    <w:rPr>
                      <w:color w:val="auto"/>
                    </w:rPr>
                    <w:t xml:space="preserve">62.05 </w:t>
                  </w:r>
                </w:p>
              </w:tc>
              <w:tc>
                <w:tcPr>
                  <w:tcW w:w="558" w:type="dxa"/>
                  <w:tcBorders>
                    <w:tl2br w:val="nil"/>
                    <w:tr2bl w:val="nil"/>
                  </w:tcBorders>
                  <w:vAlign w:val="center"/>
                </w:tcPr>
                <w:p w14:paraId="512EC44F">
                  <w:pPr>
                    <w:pStyle w:val="51"/>
                    <w:rPr>
                      <w:color w:val="auto"/>
                    </w:rPr>
                  </w:pPr>
                  <w:r>
                    <w:rPr>
                      <w:color w:val="auto"/>
                    </w:rPr>
                    <w:t xml:space="preserve">61.92 </w:t>
                  </w:r>
                </w:p>
              </w:tc>
              <w:tc>
                <w:tcPr>
                  <w:tcW w:w="158" w:type="pct"/>
                  <w:vMerge w:val="continue"/>
                  <w:tcBorders>
                    <w:tl2br w:val="nil"/>
                    <w:tr2bl w:val="nil"/>
                  </w:tcBorders>
                  <w:vAlign w:val="center"/>
                </w:tcPr>
                <w:p w14:paraId="093DB98F">
                  <w:pPr>
                    <w:pStyle w:val="51"/>
                    <w:rPr>
                      <w:color w:val="auto"/>
                    </w:rPr>
                  </w:pPr>
                </w:p>
              </w:tc>
              <w:tc>
                <w:tcPr>
                  <w:tcW w:w="250" w:type="pct"/>
                  <w:tcBorders>
                    <w:tl2br w:val="nil"/>
                    <w:tr2bl w:val="nil"/>
                  </w:tcBorders>
                  <w:vAlign w:val="center"/>
                </w:tcPr>
                <w:p w14:paraId="75D1E6C4">
                  <w:pPr>
                    <w:pStyle w:val="51"/>
                    <w:rPr>
                      <w:color w:val="auto"/>
                    </w:rPr>
                  </w:pPr>
                  <w:r>
                    <w:rPr>
                      <w:color w:val="auto"/>
                    </w:rPr>
                    <w:t>20</w:t>
                  </w:r>
                </w:p>
              </w:tc>
              <w:tc>
                <w:tcPr>
                  <w:tcW w:w="526" w:type="dxa"/>
                  <w:tcBorders>
                    <w:tl2br w:val="nil"/>
                    <w:tr2bl w:val="nil"/>
                  </w:tcBorders>
                  <w:vAlign w:val="center"/>
                </w:tcPr>
                <w:p w14:paraId="453DD7B5">
                  <w:pPr>
                    <w:pStyle w:val="51"/>
                    <w:rPr>
                      <w:color w:val="auto"/>
                    </w:rPr>
                  </w:pPr>
                  <w:r>
                    <w:rPr>
                      <w:color w:val="auto"/>
                    </w:rPr>
                    <w:t xml:space="preserve">36.05 </w:t>
                  </w:r>
                </w:p>
              </w:tc>
              <w:tc>
                <w:tcPr>
                  <w:tcW w:w="526" w:type="dxa"/>
                  <w:tcBorders>
                    <w:tl2br w:val="nil"/>
                    <w:tr2bl w:val="nil"/>
                  </w:tcBorders>
                  <w:vAlign w:val="center"/>
                </w:tcPr>
                <w:p w14:paraId="4742CE1F">
                  <w:pPr>
                    <w:pStyle w:val="51"/>
                    <w:rPr>
                      <w:color w:val="auto"/>
                    </w:rPr>
                  </w:pPr>
                  <w:r>
                    <w:rPr>
                      <w:color w:val="auto"/>
                    </w:rPr>
                    <w:t xml:space="preserve">35.91 </w:t>
                  </w:r>
                </w:p>
              </w:tc>
              <w:tc>
                <w:tcPr>
                  <w:tcW w:w="526" w:type="dxa"/>
                  <w:tcBorders>
                    <w:tl2br w:val="nil"/>
                    <w:tr2bl w:val="nil"/>
                  </w:tcBorders>
                  <w:vAlign w:val="center"/>
                </w:tcPr>
                <w:p w14:paraId="09ECB858">
                  <w:pPr>
                    <w:pStyle w:val="51"/>
                    <w:rPr>
                      <w:color w:val="auto"/>
                    </w:rPr>
                  </w:pPr>
                  <w:r>
                    <w:rPr>
                      <w:color w:val="auto"/>
                    </w:rPr>
                    <w:t xml:space="preserve">36.05 </w:t>
                  </w:r>
                </w:p>
              </w:tc>
              <w:tc>
                <w:tcPr>
                  <w:tcW w:w="542" w:type="dxa"/>
                  <w:tcBorders>
                    <w:tl2br w:val="nil"/>
                    <w:tr2bl w:val="nil"/>
                  </w:tcBorders>
                  <w:vAlign w:val="center"/>
                </w:tcPr>
                <w:p w14:paraId="56ECF242">
                  <w:pPr>
                    <w:pStyle w:val="51"/>
                    <w:rPr>
                      <w:color w:val="auto"/>
                    </w:rPr>
                  </w:pPr>
                  <w:r>
                    <w:rPr>
                      <w:color w:val="auto"/>
                    </w:rPr>
                    <w:t xml:space="preserve">35.92 </w:t>
                  </w:r>
                </w:p>
              </w:tc>
              <w:tc>
                <w:tcPr>
                  <w:tcW w:w="188" w:type="pct"/>
                  <w:tcBorders>
                    <w:tl2br w:val="nil"/>
                    <w:tr2bl w:val="nil"/>
                  </w:tcBorders>
                  <w:vAlign w:val="center"/>
                </w:tcPr>
                <w:p w14:paraId="2F346AF2">
                  <w:pPr>
                    <w:pStyle w:val="51"/>
                    <w:rPr>
                      <w:color w:val="auto"/>
                    </w:rPr>
                  </w:pPr>
                  <w:r>
                    <w:rPr>
                      <w:color w:val="auto"/>
                    </w:rPr>
                    <w:t>1m</w:t>
                  </w:r>
                </w:p>
              </w:tc>
            </w:tr>
          </w:tbl>
          <w:p w14:paraId="06118F2C">
            <w:pPr>
              <w:pStyle w:val="47"/>
              <w:ind w:firstLine="480"/>
              <w:rPr>
                <w:color w:val="auto"/>
              </w:rPr>
            </w:pPr>
          </w:p>
          <w:p w14:paraId="0D405F3D">
            <w:pPr>
              <w:pStyle w:val="47"/>
              <w:ind w:firstLine="480"/>
              <w:rPr>
                <w:color w:val="auto"/>
              </w:rPr>
            </w:pPr>
          </w:p>
          <w:p w14:paraId="2749D8B7">
            <w:pPr>
              <w:pStyle w:val="47"/>
              <w:ind w:firstLine="480"/>
              <w:rPr>
                <w:color w:val="auto"/>
              </w:rPr>
            </w:pPr>
          </w:p>
          <w:p w14:paraId="41A4307B">
            <w:pPr>
              <w:pStyle w:val="47"/>
              <w:ind w:firstLine="480"/>
              <w:rPr>
                <w:color w:val="auto"/>
              </w:rPr>
            </w:pPr>
          </w:p>
          <w:p w14:paraId="29FA67EB">
            <w:pPr>
              <w:pStyle w:val="47"/>
              <w:ind w:firstLine="480"/>
              <w:rPr>
                <w:color w:val="auto"/>
              </w:rPr>
            </w:pPr>
          </w:p>
          <w:p w14:paraId="604087BA">
            <w:pPr>
              <w:pStyle w:val="47"/>
              <w:ind w:firstLine="480"/>
              <w:rPr>
                <w:color w:val="auto"/>
              </w:rPr>
            </w:pPr>
          </w:p>
          <w:p w14:paraId="2FBD4560">
            <w:pPr>
              <w:pStyle w:val="47"/>
              <w:ind w:firstLine="480"/>
              <w:rPr>
                <w:color w:val="auto"/>
              </w:rPr>
            </w:pPr>
          </w:p>
          <w:p w14:paraId="2B30FB85">
            <w:pPr>
              <w:pStyle w:val="47"/>
              <w:ind w:firstLine="480"/>
              <w:rPr>
                <w:color w:val="auto"/>
              </w:rPr>
            </w:pPr>
          </w:p>
          <w:p w14:paraId="17660DAF">
            <w:pPr>
              <w:pStyle w:val="47"/>
              <w:ind w:firstLine="480"/>
              <w:rPr>
                <w:color w:val="auto"/>
              </w:rPr>
            </w:pPr>
          </w:p>
          <w:p w14:paraId="6C15EDB9">
            <w:pPr>
              <w:pStyle w:val="47"/>
              <w:ind w:firstLine="480"/>
              <w:rPr>
                <w:color w:val="auto"/>
              </w:rPr>
            </w:pPr>
          </w:p>
          <w:p w14:paraId="2929C343">
            <w:pPr>
              <w:pStyle w:val="47"/>
              <w:ind w:firstLine="480"/>
              <w:rPr>
                <w:color w:val="auto"/>
              </w:rPr>
            </w:pPr>
          </w:p>
          <w:p w14:paraId="3C16E024">
            <w:pPr>
              <w:pStyle w:val="47"/>
              <w:ind w:firstLine="480"/>
              <w:rPr>
                <w:color w:val="auto"/>
              </w:rPr>
            </w:pPr>
          </w:p>
        </w:tc>
      </w:tr>
    </w:tbl>
    <w:p w14:paraId="7F05F1CA">
      <w:pPr>
        <w:spacing w:before="120" w:after="120"/>
        <w:ind w:right="105" w:firstLine="120"/>
        <w:rPr>
          <w:color w:val="auto"/>
        </w:rPr>
        <w:sectPr>
          <w:pgSz w:w="16838" w:h="11906" w:orient="landscape"/>
          <w:pgMar w:top="1417" w:right="1701" w:bottom="1417" w:left="1701" w:header="851" w:footer="851" w:gutter="0"/>
          <w:cols w:space="720" w:num="1"/>
          <w:docGrid w:linePitch="312" w:charSpace="0"/>
        </w:sectPr>
      </w:pPr>
    </w:p>
    <w:tbl>
      <w:tblPr>
        <w:tblStyle w:val="15"/>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634"/>
      </w:tblGrid>
      <w:tr w14:paraId="7617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14:paraId="4CD92E96">
            <w:pPr>
              <w:jc w:val="center"/>
              <w:rPr>
                <w:color w:val="auto"/>
                <w:sz w:val="24"/>
                <w:szCs w:val="24"/>
              </w:rPr>
            </w:pPr>
            <w:r>
              <w:rPr>
                <w:color w:val="auto"/>
                <w:sz w:val="24"/>
                <w:szCs w:val="24"/>
              </w:rPr>
              <w:t>运营</w:t>
            </w:r>
          </w:p>
          <w:p w14:paraId="27FDE135">
            <w:pPr>
              <w:jc w:val="center"/>
              <w:rPr>
                <w:color w:val="auto"/>
                <w:sz w:val="24"/>
                <w:szCs w:val="24"/>
              </w:rPr>
            </w:pPr>
            <w:r>
              <w:rPr>
                <w:color w:val="auto"/>
                <w:sz w:val="24"/>
                <w:szCs w:val="24"/>
              </w:rPr>
              <w:t>期环</w:t>
            </w:r>
          </w:p>
          <w:p w14:paraId="40FF0678">
            <w:pPr>
              <w:jc w:val="center"/>
              <w:rPr>
                <w:color w:val="auto"/>
                <w:sz w:val="24"/>
                <w:szCs w:val="24"/>
              </w:rPr>
            </w:pPr>
            <w:r>
              <w:rPr>
                <w:color w:val="auto"/>
                <w:sz w:val="24"/>
                <w:szCs w:val="24"/>
              </w:rPr>
              <w:t>境影</w:t>
            </w:r>
          </w:p>
          <w:p w14:paraId="14DB5FE9">
            <w:pPr>
              <w:jc w:val="center"/>
              <w:rPr>
                <w:color w:val="auto"/>
                <w:sz w:val="24"/>
                <w:szCs w:val="24"/>
              </w:rPr>
            </w:pPr>
            <w:r>
              <w:rPr>
                <w:color w:val="auto"/>
                <w:sz w:val="24"/>
                <w:szCs w:val="24"/>
              </w:rPr>
              <w:t>响和</w:t>
            </w:r>
          </w:p>
          <w:p w14:paraId="501B52E8">
            <w:pPr>
              <w:jc w:val="center"/>
              <w:rPr>
                <w:color w:val="auto"/>
                <w:sz w:val="24"/>
                <w:szCs w:val="24"/>
              </w:rPr>
            </w:pPr>
            <w:r>
              <w:rPr>
                <w:color w:val="auto"/>
                <w:sz w:val="24"/>
                <w:szCs w:val="24"/>
              </w:rPr>
              <w:t>保护</w:t>
            </w:r>
          </w:p>
          <w:p w14:paraId="50970C9A">
            <w:pPr>
              <w:jc w:val="center"/>
              <w:rPr>
                <w:snapToGrid w:val="0"/>
                <w:color w:val="auto"/>
                <w:sz w:val="30"/>
              </w:rPr>
            </w:pPr>
            <w:r>
              <w:rPr>
                <w:color w:val="auto"/>
                <w:sz w:val="24"/>
                <w:szCs w:val="24"/>
              </w:rPr>
              <w:t>措施</w:t>
            </w:r>
          </w:p>
        </w:tc>
        <w:tc>
          <w:tcPr>
            <w:tcW w:w="8244" w:type="dxa"/>
          </w:tcPr>
          <w:p w14:paraId="5702723C">
            <w:pPr>
              <w:pStyle w:val="47"/>
              <w:ind w:firstLine="482"/>
              <w:rPr>
                <w:b/>
                <w:bCs/>
                <w:color w:val="auto"/>
              </w:rPr>
            </w:pPr>
            <w:bookmarkStart w:id="74" w:name="_Ref6115"/>
            <w:r>
              <w:rPr>
                <w:b/>
                <w:bCs/>
                <w:color w:val="auto"/>
              </w:rPr>
              <w:t>（2）噪声污染治理措施</w:t>
            </w:r>
          </w:p>
          <w:p w14:paraId="61E95B63">
            <w:pPr>
              <w:pStyle w:val="47"/>
              <w:ind w:firstLine="480"/>
              <w:rPr>
                <w:color w:val="auto"/>
              </w:rPr>
            </w:pPr>
            <w:r>
              <w:rPr>
                <w:color w:val="auto"/>
              </w:rPr>
              <w:t>本项目采取的噪声防治措施如下：</w:t>
            </w:r>
          </w:p>
          <w:p w14:paraId="7C07CD83">
            <w:pPr>
              <w:pStyle w:val="47"/>
              <w:ind w:firstLine="480"/>
              <w:rPr>
                <w:color w:val="auto"/>
              </w:rPr>
            </w:pPr>
            <w:r>
              <w:rPr>
                <w:color w:val="auto"/>
              </w:rPr>
              <w:t>①对车间内部进行合理布局，将高噪声设备尽可能布置在远离厂界位置；</w:t>
            </w:r>
          </w:p>
          <w:p w14:paraId="23868624">
            <w:pPr>
              <w:pStyle w:val="47"/>
              <w:ind w:firstLine="480"/>
              <w:rPr>
                <w:color w:val="auto"/>
              </w:rPr>
            </w:pPr>
            <w:r>
              <w:rPr>
                <w:color w:val="auto"/>
              </w:rPr>
              <w:t>②采购时尽量选择低噪声水平的设备，从源头上减少噪声排放；</w:t>
            </w:r>
          </w:p>
          <w:p w14:paraId="629C248F">
            <w:pPr>
              <w:pStyle w:val="47"/>
              <w:ind w:firstLine="480"/>
              <w:rPr>
                <w:color w:val="auto"/>
              </w:rPr>
            </w:pPr>
            <w:r>
              <w:rPr>
                <w:color w:val="auto"/>
              </w:rPr>
              <w:t>③对设备进行定期维修，保持设备良好的运转状态，降低噪声；</w:t>
            </w:r>
          </w:p>
          <w:p w14:paraId="5E023E9F">
            <w:pPr>
              <w:pStyle w:val="47"/>
              <w:ind w:firstLine="480"/>
              <w:rPr>
                <w:color w:val="auto"/>
              </w:rPr>
            </w:pPr>
            <w:r>
              <w:rPr>
                <w:color w:val="auto"/>
              </w:rPr>
              <w:t>④等设备采取基座加减振垫隔振、消声等处理的措施；</w:t>
            </w:r>
          </w:p>
          <w:p w14:paraId="171D6E50">
            <w:pPr>
              <w:pStyle w:val="47"/>
              <w:ind w:firstLine="480"/>
              <w:rPr>
                <w:color w:val="auto"/>
              </w:rPr>
            </w:pPr>
            <w:r>
              <w:rPr>
                <w:color w:val="auto"/>
              </w:rPr>
              <w:t>⑤在厂界周围种植高大植物，削减厂界噪声排放，减轻噪声对周围环境的影响。</w:t>
            </w:r>
          </w:p>
          <w:p w14:paraId="65574195">
            <w:pPr>
              <w:pStyle w:val="47"/>
              <w:ind w:firstLine="480"/>
              <w:rPr>
                <w:b/>
                <w:bCs/>
                <w:color w:val="auto"/>
              </w:rPr>
            </w:pPr>
            <w:r>
              <w:rPr>
                <w:color w:val="auto"/>
              </w:rPr>
              <w:t>经合理布局设备、采用低噪声设备，对高噪声设备采取减振、绿化隔声等各项治理措施后，降噪量≥20dB（A）。</w:t>
            </w:r>
          </w:p>
          <w:p w14:paraId="28AE43B5">
            <w:pPr>
              <w:pStyle w:val="47"/>
              <w:ind w:firstLine="482"/>
              <w:rPr>
                <w:b/>
                <w:bCs/>
                <w:color w:val="auto"/>
              </w:rPr>
            </w:pPr>
            <w:r>
              <w:rPr>
                <w:b/>
                <w:bCs/>
                <w:color w:val="auto"/>
              </w:rPr>
              <w:t>（3）声环境影响分析</w:t>
            </w:r>
          </w:p>
          <w:p w14:paraId="27CF4C20">
            <w:pPr>
              <w:pStyle w:val="47"/>
              <w:ind w:firstLine="480"/>
              <w:rPr>
                <w:color w:val="auto"/>
              </w:rPr>
            </w:pPr>
            <w:r>
              <w:rPr>
                <w:color w:val="auto"/>
              </w:rPr>
              <w:t>根据《环境影响评价技术导则 声环境》（HJ2.4-2021）的规定，选取预测模式，应用过程中将根据具体情况做必要简化，计算过程如下：</w:t>
            </w:r>
          </w:p>
          <w:p w14:paraId="771B573B">
            <w:pPr>
              <w:pStyle w:val="47"/>
              <w:ind w:firstLine="482"/>
              <w:rPr>
                <w:b/>
                <w:bCs/>
                <w:color w:val="auto"/>
              </w:rPr>
            </w:pPr>
            <w:r>
              <w:rPr>
                <w:b/>
                <w:bCs/>
                <w:color w:val="auto"/>
              </w:rPr>
              <w:t>①室外声源计算方法</w:t>
            </w:r>
          </w:p>
          <w:p w14:paraId="6539E82B">
            <w:pPr>
              <w:pStyle w:val="47"/>
              <w:ind w:firstLine="480"/>
              <w:rPr>
                <w:b/>
                <w:bCs/>
                <w:color w:val="auto"/>
              </w:rPr>
            </w:pPr>
            <w:r>
              <w:rPr>
                <w:color w:val="auto"/>
              </w:rPr>
              <w:t>为了简化计算条件并能考虑到最不利因素，计算时只考虑噪声随距离的衰减。</w:t>
            </w:r>
          </w:p>
          <w:p w14:paraId="0F7B5F8E">
            <w:pPr>
              <w:pStyle w:val="47"/>
              <w:ind w:firstLine="482"/>
              <w:rPr>
                <w:b/>
                <w:bCs/>
                <w:color w:val="auto"/>
              </w:rPr>
            </w:pPr>
            <w:r>
              <w:rPr>
                <w:b/>
                <w:bCs/>
                <w:color w:val="auto"/>
              </w:rPr>
              <w:t>②室内声源等效室外声源声功率级计算方法</w:t>
            </w:r>
          </w:p>
          <w:p w14:paraId="6EF69A32">
            <w:pPr>
              <w:pStyle w:val="47"/>
              <w:ind w:firstLine="480"/>
              <w:rPr>
                <w:color w:val="auto"/>
              </w:rPr>
            </w:pPr>
            <w:r>
              <w:rPr>
                <w:color w:val="auto"/>
              </w:rPr>
              <w:t>按下计算某一室内声源靠近围护结构处产生的倍频带声压级或A声级：</w:t>
            </w:r>
          </w:p>
          <w:p w14:paraId="5AB2AC4B">
            <w:pPr>
              <w:pStyle w:val="47"/>
              <w:ind w:firstLine="0" w:firstLineChars="0"/>
              <w:jc w:val="center"/>
              <w:rPr>
                <w:color w:val="auto"/>
                <w:lang w:bidi="ar"/>
              </w:rPr>
            </w:pPr>
            <w:r>
              <w:rPr>
                <w:color w:val="auto"/>
                <w:lang w:bidi="ar"/>
              </w:rPr>
              <w:object>
                <v:shape id="_x0000_i1026" o:spt="75" type="#_x0000_t75" style="height:30.85pt;width:136.0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p>
          <w:p w14:paraId="57E7CFD0">
            <w:pPr>
              <w:pStyle w:val="47"/>
              <w:ind w:firstLine="480"/>
              <w:rPr>
                <w:color w:val="auto"/>
              </w:rPr>
            </w:pPr>
            <w:r>
              <w:rPr>
                <w:color w:val="auto"/>
              </w:rPr>
              <w:t>式中：L</w:t>
            </w:r>
            <w:r>
              <w:rPr>
                <w:color w:val="auto"/>
                <w:vertAlign w:val="subscript"/>
              </w:rPr>
              <w:t>P1</w:t>
            </w:r>
            <w:r>
              <w:rPr>
                <w:color w:val="auto"/>
              </w:rPr>
              <w:t xml:space="preserve">——靠近开口处（或窗户）室内某倍频带的声压级或A声级，dB； </w:t>
            </w:r>
          </w:p>
          <w:p w14:paraId="2F96170E">
            <w:pPr>
              <w:pStyle w:val="47"/>
              <w:ind w:left="1155" w:leftChars="550" w:firstLine="0" w:firstLineChars="0"/>
              <w:rPr>
                <w:color w:val="auto"/>
              </w:rPr>
            </w:pPr>
            <w:r>
              <w:rPr>
                <w:color w:val="auto"/>
              </w:rPr>
              <w:t>L</w:t>
            </w:r>
            <w:r>
              <w:rPr>
                <w:color w:val="auto"/>
                <w:vertAlign w:val="subscript"/>
              </w:rPr>
              <w:t>W</w:t>
            </w:r>
            <w:r>
              <w:rPr>
                <w:color w:val="auto"/>
              </w:rPr>
              <w:t>——点声源声功率级（A计权或倍频带），dB；</w:t>
            </w:r>
          </w:p>
          <w:p w14:paraId="4DD12CA4">
            <w:pPr>
              <w:pStyle w:val="47"/>
              <w:ind w:left="1155" w:leftChars="550" w:firstLine="0" w:firstLineChars="0"/>
              <w:rPr>
                <w:color w:val="auto"/>
              </w:rPr>
            </w:pPr>
            <w:r>
              <w:rPr>
                <w:color w:val="auto"/>
              </w:rPr>
              <w:t>Q——指向性因数；通常对无指向性声源，当声源放在房间中心时，Q=1；当放在一面墙的中心时，Q=2；当放在两面墙夹角处时，Q=4；当放在三面墙夹角处时，Q=8；</w:t>
            </w:r>
          </w:p>
          <w:p w14:paraId="30C392D4">
            <w:pPr>
              <w:pStyle w:val="47"/>
              <w:ind w:left="1155" w:leftChars="550" w:firstLine="0" w:firstLineChars="0"/>
              <w:rPr>
                <w:color w:val="auto"/>
              </w:rPr>
            </w:pPr>
            <w:r>
              <w:rPr>
                <w:color w:val="auto"/>
              </w:rPr>
              <w:t>R——房间常数；R=Sα /（1-α），S为房间内表面面积，m</w:t>
            </w:r>
            <w:r>
              <w:rPr>
                <w:color w:val="auto"/>
                <w:vertAlign w:val="superscript"/>
              </w:rPr>
              <w:t>2</w:t>
            </w:r>
            <w:r>
              <w:rPr>
                <w:color w:val="auto"/>
              </w:rPr>
              <w:t>；α为平均吸声系数；</w:t>
            </w:r>
          </w:p>
          <w:p w14:paraId="02A15CDB">
            <w:pPr>
              <w:pStyle w:val="47"/>
              <w:ind w:left="1155" w:leftChars="550" w:firstLine="0" w:firstLineChars="0"/>
              <w:rPr>
                <w:color w:val="auto"/>
              </w:rPr>
            </w:pPr>
            <w:r>
              <w:rPr>
                <w:color w:val="auto"/>
              </w:rPr>
              <w:t>r——声源到靠近围护结构某点处的距离，m。</w:t>
            </w:r>
          </w:p>
          <w:p w14:paraId="3405C6B0">
            <w:pPr>
              <w:pStyle w:val="47"/>
              <w:ind w:firstLine="480"/>
              <w:rPr>
                <w:color w:val="auto"/>
              </w:rPr>
            </w:pPr>
            <w:r>
              <w:rPr>
                <w:color w:val="auto"/>
              </w:rPr>
              <w:t>在室内近似为扩散声场时，按下式计算出靠近室外围护结构处的声压级：</w:t>
            </w:r>
          </w:p>
          <w:p w14:paraId="0FB59020">
            <w:pPr>
              <w:pStyle w:val="47"/>
              <w:ind w:firstLine="0" w:firstLineChars="0"/>
              <w:jc w:val="center"/>
              <w:rPr>
                <w:color w:val="auto"/>
                <w:lang w:bidi="ar"/>
              </w:rPr>
            </w:pPr>
            <w:r>
              <w:rPr>
                <w:color w:val="auto"/>
                <w:lang w:bidi="ar"/>
              </w:rPr>
              <w:object>
                <v:shape id="_x0000_i1027" o:spt="75" type="#_x0000_t75" style="height:19.05pt;width:138.9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p>
          <w:p w14:paraId="49606001">
            <w:pPr>
              <w:pStyle w:val="47"/>
              <w:ind w:firstLine="480"/>
              <w:rPr>
                <w:color w:val="auto"/>
              </w:rPr>
            </w:pPr>
            <w:r>
              <w:rPr>
                <w:color w:val="auto"/>
              </w:rPr>
              <w:t>式中：L</w:t>
            </w:r>
            <w:r>
              <w:rPr>
                <w:color w:val="auto"/>
                <w:vertAlign w:val="subscript"/>
              </w:rPr>
              <w:t>p2i(T)</w:t>
            </w:r>
            <w:r>
              <w:rPr>
                <w:color w:val="auto"/>
              </w:rPr>
              <w:t>——靠近围护结构处室外N个声源i倍频带的叠加声压级，dB；</w:t>
            </w:r>
          </w:p>
          <w:p w14:paraId="59CDD4E9">
            <w:pPr>
              <w:pStyle w:val="47"/>
              <w:ind w:left="1155" w:leftChars="550" w:firstLine="0" w:firstLineChars="0"/>
              <w:rPr>
                <w:color w:val="auto"/>
              </w:rPr>
            </w:pPr>
            <w:r>
              <w:rPr>
                <w:color w:val="auto"/>
              </w:rPr>
              <w:t>L</w:t>
            </w:r>
            <w:r>
              <w:rPr>
                <w:color w:val="auto"/>
                <w:vertAlign w:val="subscript"/>
              </w:rPr>
              <w:t xml:space="preserve">p1i(T) </w:t>
            </w:r>
            <w:r>
              <w:rPr>
                <w:color w:val="auto"/>
              </w:rPr>
              <w:t>——靠近围护结构处室内N个声源i倍频带的叠加声压级，dB；</w:t>
            </w:r>
          </w:p>
          <w:p w14:paraId="3588556D">
            <w:pPr>
              <w:pStyle w:val="47"/>
              <w:ind w:left="1155" w:leftChars="550" w:firstLine="0" w:firstLineChars="0"/>
              <w:rPr>
                <w:color w:val="auto"/>
              </w:rPr>
            </w:pPr>
            <w:r>
              <w:rPr>
                <w:color w:val="auto"/>
              </w:rPr>
              <w:t>T</w:t>
            </w:r>
            <w:r>
              <w:rPr>
                <w:color w:val="auto"/>
                <w:vertAlign w:val="subscript"/>
              </w:rPr>
              <w:t xml:space="preserve">L i </w:t>
            </w:r>
            <w:r>
              <w:rPr>
                <w:color w:val="auto"/>
              </w:rPr>
              <w:t>——围护结构i倍频带的隔声量，dB。</w:t>
            </w:r>
          </w:p>
          <w:p w14:paraId="4D6D6D52">
            <w:pPr>
              <w:pStyle w:val="47"/>
              <w:ind w:firstLine="480"/>
              <w:rPr>
                <w:color w:val="auto"/>
              </w:rPr>
            </w:pPr>
            <w:r>
              <w:rPr>
                <w:color w:val="auto"/>
              </w:rPr>
              <w:t>然后按下式计算出所有室内声源在围护结构处产生的i倍频带叠加声压级：</w:t>
            </w:r>
          </w:p>
          <w:p w14:paraId="5F611F70">
            <w:pPr>
              <w:pStyle w:val="47"/>
              <w:ind w:firstLine="0" w:firstLineChars="0"/>
              <w:jc w:val="center"/>
              <w:rPr>
                <w:color w:val="auto"/>
                <w:lang w:bidi="ar"/>
              </w:rPr>
            </w:pPr>
            <w:r>
              <w:rPr>
                <w:color w:val="auto"/>
                <w:lang w:bidi="ar"/>
              </w:rPr>
              <w:object>
                <v:shape id="_x0000_i1028" o:spt="75" type="#_x0000_t75" style="height:37.6pt;width:144.55pt;" o:ole="t" filled="f" o:preferrelative="t" stroked="f" coordsize="21600,21600">
                  <v:path/>
                  <v:fill on="f" focussize="0,0"/>
                  <v:stroke on="f" joinstyle="miter"/>
                  <v:imagedata r:id="rId22" o:title=""/>
                  <o:lock v:ext="edit" aspectratio="t"/>
                  <w10:wrap type="none"/>
                  <w10:anchorlock/>
                </v:shape>
                <o:OLEObject Type="Embed" ProgID="Equation.3" ShapeID="_x0000_i1028" DrawAspect="Content" ObjectID="_1468075728" r:id="rId21">
                  <o:LockedField>false</o:LockedField>
                </o:OLEObject>
              </w:object>
            </w:r>
          </w:p>
          <w:p w14:paraId="3757B2A1">
            <w:pPr>
              <w:pStyle w:val="47"/>
              <w:ind w:firstLine="480"/>
              <w:rPr>
                <w:color w:val="auto"/>
              </w:rPr>
            </w:pPr>
            <w:r>
              <w:rPr>
                <w:color w:val="auto"/>
              </w:rPr>
              <w:t>式中：L</w:t>
            </w:r>
            <w:r>
              <w:rPr>
                <w:color w:val="auto"/>
                <w:vertAlign w:val="subscript"/>
              </w:rPr>
              <w:t xml:space="preserve">p1i(T) </w:t>
            </w:r>
            <w:r>
              <w:rPr>
                <w:color w:val="auto"/>
              </w:rPr>
              <w:t>——靠近围护结构处室内N个声源i倍频带的叠加声压级，dB；</w:t>
            </w:r>
          </w:p>
          <w:p w14:paraId="77E28890">
            <w:pPr>
              <w:pStyle w:val="47"/>
              <w:ind w:left="1155" w:leftChars="550" w:firstLine="0" w:firstLineChars="0"/>
              <w:rPr>
                <w:color w:val="auto"/>
              </w:rPr>
            </w:pPr>
            <w:r>
              <w:rPr>
                <w:color w:val="auto"/>
              </w:rPr>
              <w:t>L</w:t>
            </w:r>
            <w:r>
              <w:rPr>
                <w:color w:val="auto"/>
                <w:vertAlign w:val="subscript"/>
              </w:rPr>
              <w:t xml:space="preserve">p1ij </w:t>
            </w:r>
            <w:r>
              <w:rPr>
                <w:color w:val="auto"/>
              </w:rPr>
              <w:t>——室内j声源i倍频带的声压级，dB；</w:t>
            </w:r>
          </w:p>
          <w:p w14:paraId="3F2F4822">
            <w:pPr>
              <w:pStyle w:val="47"/>
              <w:ind w:left="1155" w:leftChars="550" w:firstLine="0" w:firstLineChars="0"/>
              <w:rPr>
                <w:color w:val="auto"/>
              </w:rPr>
            </w:pPr>
            <w:r>
              <w:rPr>
                <w:color w:val="auto"/>
              </w:rPr>
              <w:t>N ——室内声源总数。</w:t>
            </w:r>
          </w:p>
          <w:p w14:paraId="09FC67CC">
            <w:pPr>
              <w:pStyle w:val="47"/>
              <w:ind w:firstLine="482"/>
              <w:rPr>
                <w:b/>
                <w:bCs/>
                <w:color w:val="auto"/>
              </w:rPr>
            </w:pPr>
            <w:r>
              <w:rPr>
                <w:b/>
                <w:bCs/>
                <w:color w:val="auto"/>
              </w:rPr>
              <w:t>③噪声贡献值</w:t>
            </w:r>
          </w:p>
          <w:p w14:paraId="3DE38C38">
            <w:pPr>
              <w:pStyle w:val="47"/>
              <w:ind w:firstLine="480"/>
              <w:rPr>
                <w:color w:val="auto"/>
              </w:rPr>
            </w:pPr>
            <w:r>
              <w:rPr>
                <w:color w:val="auto"/>
              </w:rPr>
              <w:t>设第i个室外声源在预测点产生的A声级为L</w:t>
            </w:r>
            <w:r>
              <w:rPr>
                <w:color w:val="auto"/>
                <w:vertAlign w:val="subscript"/>
              </w:rPr>
              <w:t>Ai</w:t>
            </w:r>
            <w:r>
              <w:rPr>
                <w:color w:val="auto"/>
              </w:rPr>
              <w:t>，在T时间内该声源工作时间为t</w:t>
            </w:r>
            <w:r>
              <w:rPr>
                <w:color w:val="auto"/>
                <w:vertAlign w:val="subscript"/>
              </w:rPr>
              <w:t>i</w:t>
            </w:r>
            <w:r>
              <w:rPr>
                <w:color w:val="auto"/>
              </w:rPr>
              <w:t>；第j个等效室外声源在预测点产生的A声级为L</w:t>
            </w:r>
            <w:r>
              <w:rPr>
                <w:color w:val="auto"/>
                <w:vertAlign w:val="subscript"/>
              </w:rPr>
              <w:t>Aj</w:t>
            </w:r>
            <w:r>
              <w:rPr>
                <w:color w:val="auto"/>
              </w:rPr>
              <w:t>，在T时间内该声源工作时间为t</w:t>
            </w:r>
            <w:r>
              <w:rPr>
                <w:color w:val="auto"/>
                <w:vertAlign w:val="subscript"/>
              </w:rPr>
              <w:t>j</w:t>
            </w:r>
            <w:r>
              <w:rPr>
                <w:color w:val="auto"/>
              </w:rPr>
              <w:t>，则拟建工程声源对预测点产生的贡献值为：</w:t>
            </w:r>
          </w:p>
          <w:p w14:paraId="4FFBEC74">
            <w:pPr>
              <w:pStyle w:val="47"/>
              <w:ind w:firstLine="0" w:firstLineChars="0"/>
              <w:jc w:val="center"/>
              <w:rPr>
                <w:color w:val="auto"/>
                <w:lang w:bidi="ar"/>
              </w:rPr>
            </w:pPr>
            <w:r>
              <w:rPr>
                <w:color w:val="auto"/>
                <w:lang w:bidi="ar"/>
              </w:rPr>
              <w:object>
                <v:shape id="_x0000_i1029" o:spt="75" type="#_x0000_t75" style="height:40.8pt;width:206.95pt;" o:ole="t" filled="f" o:preferrelative="t" stroked="f" coordsize="21600,21600">
                  <v:path/>
                  <v:fill on="f" focussize="0,0"/>
                  <v:stroke on="f" joinstyle="miter"/>
                  <v:imagedata r:id="rId24" o:title=""/>
                  <o:lock v:ext="edit" aspectratio="t"/>
                  <w10:wrap type="none"/>
                  <w10:anchorlock/>
                </v:shape>
                <o:OLEObject Type="Embed" ProgID="Equation.3" ShapeID="_x0000_i1029" DrawAspect="Content" ObjectID="_1468075729" r:id="rId23">
                  <o:LockedField>false</o:LockedField>
                </o:OLEObject>
              </w:object>
            </w:r>
          </w:p>
          <w:p w14:paraId="6B04F980">
            <w:pPr>
              <w:pStyle w:val="47"/>
              <w:ind w:firstLine="480"/>
              <w:rPr>
                <w:color w:val="auto"/>
              </w:rPr>
            </w:pPr>
            <w:r>
              <w:rPr>
                <w:color w:val="auto"/>
              </w:rPr>
              <w:t>式中：Leqg——建设项目声源在预测点产生的噪声贡献值，dB；</w:t>
            </w:r>
          </w:p>
          <w:p w14:paraId="5017A4A5">
            <w:pPr>
              <w:pStyle w:val="47"/>
              <w:ind w:left="1155" w:leftChars="550" w:firstLine="0" w:firstLineChars="0"/>
              <w:rPr>
                <w:color w:val="auto"/>
              </w:rPr>
            </w:pPr>
            <w:r>
              <w:rPr>
                <w:color w:val="auto"/>
              </w:rPr>
              <w:t>T—用于计算等效声级的时间，s；</w:t>
            </w:r>
          </w:p>
          <w:p w14:paraId="52E49AB0">
            <w:pPr>
              <w:pStyle w:val="47"/>
              <w:ind w:left="1155" w:leftChars="550" w:firstLine="0" w:firstLineChars="0"/>
              <w:rPr>
                <w:color w:val="auto"/>
              </w:rPr>
            </w:pPr>
            <w:r>
              <w:rPr>
                <w:color w:val="auto"/>
              </w:rPr>
              <w:t>N—室外声源个数；</w:t>
            </w:r>
          </w:p>
          <w:p w14:paraId="3699317C">
            <w:pPr>
              <w:pStyle w:val="47"/>
              <w:ind w:left="1155" w:leftChars="550" w:firstLine="0" w:firstLineChars="0"/>
              <w:rPr>
                <w:color w:val="auto"/>
              </w:rPr>
            </w:pPr>
            <w:r>
              <w:rPr>
                <w:color w:val="auto"/>
              </w:rPr>
              <w:t>t</w:t>
            </w:r>
            <w:r>
              <w:rPr>
                <w:color w:val="auto"/>
                <w:vertAlign w:val="subscript"/>
              </w:rPr>
              <w:t>j</w:t>
            </w:r>
            <w:r>
              <w:rPr>
                <w:color w:val="auto"/>
              </w:rPr>
              <w:t>—在T时间内j声源工作时间，s；</w:t>
            </w:r>
          </w:p>
          <w:p w14:paraId="00E91C23">
            <w:pPr>
              <w:pStyle w:val="47"/>
              <w:ind w:left="1155" w:leftChars="550" w:firstLine="0" w:firstLineChars="0"/>
              <w:rPr>
                <w:color w:val="auto"/>
              </w:rPr>
            </w:pPr>
            <w:r>
              <w:rPr>
                <w:color w:val="auto"/>
              </w:rPr>
              <w:t>M—等效室外声源个数；</w:t>
            </w:r>
          </w:p>
          <w:p w14:paraId="41BEA687">
            <w:pPr>
              <w:pStyle w:val="47"/>
              <w:ind w:left="1155" w:leftChars="550" w:firstLine="0" w:firstLineChars="0"/>
              <w:rPr>
                <w:color w:val="auto"/>
              </w:rPr>
            </w:pPr>
            <w:r>
              <w:rPr>
                <w:color w:val="auto"/>
              </w:rPr>
              <w:t>t</w:t>
            </w:r>
            <w:r>
              <w:rPr>
                <w:color w:val="auto"/>
                <w:vertAlign w:val="subscript"/>
              </w:rPr>
              <w:t>i</w:t>
            </w:r>
            <w:r>
              <w:rPr>
                <w:color w:val="auto"/>
              </w:rPr>
              <w:t>—在T时间内i声源工作时间，s。</w:t>
            </w:r>
          </w:p>
          <w:p w14:paraId="381A83ED">
            <w:pPr>
              <w:pStyle w:val="47"/>
              <w:ind w:firstLine="482"/>
              <w:rPr>
                <w:b/>
                <w:bCs/>
                <w:color w:val="auto"/>
              </w:rPr>
            </w:pPr>
            <w:r>
              <w:rPr>
                <w:b/>
                <w:bCs/>
                <w:color w:val="auto"/>
              </w:rPr>
              <w:t>④点声源的几何发散衰减</w:t>
            </w:r>
          </w:p>
          <w:p w14:paraId="554D4A14">
            <w:pPr>
              <w:pStyle w:val="47"/>
              <w:ind w:firstLine="0" w:firstLineChars="0"/>
              <w:jc w:val="center"/>
              <w:rPr>
                <w:color w:val="auto"/>
                <w:lang w:bidi="ar"/>
              </w:rPr>
            </w:pPr>
            <w:r>
              <w:rPr>
                <w:color w:val="auto"/>
                <w:lang w:bidi="ar"/>
              </w:rPr>
              <w:object>
                <v:shape id="_x0000_i1030" o:spt="75" type="#_x0000_t75" style="height:21.4pt;width:136.05pt;" o:ole="t" filled="f" o:preferrelative="t" stroked="f" coordsize="21600,21600">
                  <v:path/>
                  <v:fill on="f" focussize="0,0"/>
                  <v:stroke on="f" joinstyle="miter"/>
                  <v:imagedata r:id="rId26" o:title=""/>
                  <o:lock v:ext="edit" aspectratio="t"/>
                  <w10:wrap type="none"/>
                  <w10:anchorlock/>
                </v:shape>
                <o:OLEObject Type="Embed" ProgID="Equation.3" ShapeID="_x0000_i1030" DrawAspect="Content" ObjectID="_1468075730" r:id="rId25">
                  <o:LockedField>false</o:LockedField>
                </o:OLEObject>
              </w:object>
            </w:r>
          </w:p>
          <w:p w14:paraId="45B8E280">
            <w:pPr>
              <w:pStyle w:val="47"/>
              <w:ind w:firstLine="480"/>
              <w:rPr>
                <w:color w:val="auto"/>
              </w:rPr>
            </w:pPr>
            <w:r>
              <w:rPr>
                <w:color w:val="auto"/>
              </w:rPr>
              <w:t>式中：L</w:t>
            </w:r>
            <w:r>
              <w:rPr>
                <w:color w:val="auto"/>
                <w:vertAlign w:val="subscript"/>
              </w:rPr>
              <w:t>p(r)</w:t>
            </w:r>
            <w:r>
              <w:rPr>
                <w:color w:val="auto"/>
              </w:rPr>
              <w:t>—建设项目声源在距离声源点r处值，dB(A)；</w:t>
            </w:r>
          </w:p>
          <w:p w14:paraId="0E65C7D4">
            <w:pPr>
              <w:pStyle w:val="47"/>
              <w:ind w:left="1155" w:leftChars="550" w:firstLine="0" w:firstLineChars="0"/>
              <w:rPr>
                <w:color w:val="auto"/>
              </w:rPr>
            </w:pPr>
            <w:r>
              <w:rPr>
                <w:color w:val="auto"/>
              </w:rPr>
              <w:t>L</w:t>
            </w:r>
            <w:r>
              <w:rPr>
                <w:color w:val="auto"/>
                <w:vertAlign w:val="subscript"/>
              </w:rPr>
              <w:t>p(r0)</w:t>
            </w:r>
            <w:r>
              <w:rPr>
                <w:color w:val="auto"/>
              </w:rPr>
              <w:t>—建设项目声源值，dB(A)。</w:t>
            </w:r>
          </w:p>
          <w:p w14:paraId="20B9F27D">
            <w:pPr>
              <w:pStyle w:val="47"/>
              <w:ind w:firstLine="482"/>
              <w:rPr>
                <w:b/>
                <w:bCs/>
                <w:color w:val="auto"/>
              </w:rPr>
            </w:pPr>
            <w:r>
              <w:rPr>
                <w:b/>
                <w:bCs/>
                <w:color w:val="auto"/>
              </w:rPr>
              <w:t>⑤噪声预测值计算方法</w:t>
            </w:r>
          </w:p>
          <w:p w14:paraId="281C9A15">
            <w:pPr>
              <w:pStyle w:val="47"/>
              <w:ind w:firstLine="480"/>
              <w:rPr>
                <w:color w:val="auto"/>
              </w:rPr>
            </w:pPr>
            <w:r>
              <w:rPr>
                <w:color w:val="auto"/>
              </w:rPr>
              <w:t>预测点的贡献值和背景值按能量叠加方法计算得到的声级。</w:t>
            </w:r>
          </w:p>
          <w:p w14:paraId="692B8D42">
            <w:pPr>
              <w:pStyle w:val="47"/>
              <w:ind w:firstLine="0" w:firstLineChars="0"/>
              <w:jc w:val="center"/>
              <w:rPr>
                <w:color w:val="auto"/>
                <w:lang w:bidi="ar"/>
              </w:rPr>
            </w:pPr>
            <w:r>
              <w:rPr>
                <w:color w:val="auto"/>
                <w:lang w:bidi="ar"/>
              </w:rPr>
              <w:object>
                <v:shape id="_x0000_i1031" o:spt="75" type="#_x0000_t75" style="height:24.15pt;width:138.9pt;" o:ole="t" filled="f" o:preferrelative="t" stroked="f" coordsize="21600,21600">
                  <v:path/>
                  <v:fill on="f" focussize="0,0"/>
                  <v:stroke on="f" joinstyle="miter"/>
                  <v:imagedata r:id="rId28" o:title=""/>
                  <o:lock v:ext="edit" aspectratio="t"/>
                  <w10:wrap type="none"/>
                  <w10:anchorlock/>
                </v:shape>
                <o:OLEObject Type="Embed" ProgID="Equation.3" ShapeID="_x0000_i1031" DrawAspect="Content" ObjectID="_1468075731" r:id="rId27">
                  <o:LockedField>false</o:LockedField>
                </o:OLEObject>
              </w:object>
            </w:r>
          </w:p>
          <w:p w14:paraId="60F1432A">
            <w:pPr>
              <w:pStyle w:val="47"/>
              <w:ind w:firstLine="480"/>
              <w:rPr>
                <w:color w:val="auto"/>
              </w:rPr>
            </w:pPr>
            <w:r>
              <w:rPr>
                <w:color w:val="auto"/>
              </w:rPr>
              <w:t>式中：L</w:t>
            </w:r>
            <w:r>
              <w:rPr>
                <w:color w:val="auto"/>
                <w:vertAlign w:val="subscript"/>
              </w:rPr>
              <w:t>eq</w:t>
            </w:r>
            <w:r>
              <w:rPr>
                <w:color w:val="auto"/>
              </w:rPr>
              <w:t>—预测点的噪声预测值，dB；</w:t>
            </w:r>
          </w:p>
          <w:p w14:paraId="5492F716">
            <w:pPr>
              <w:pStyle w:val="47"/>
              <w:ind w:left="1155" w:leftChars="550" w:firstLine="0" w:firstLineChars="0"/>
              <w:rPr>
                <w:color w:val="auto"/>
              </w:rPr>
            </w:pPr>
            <w:r>
              <w:rPr>
                <w:color w:val="auto"/>
              </w:rPr>
              <w:t>L</w:t>
            </w:r>
            <w:r>
              <w:rPr>
                <w:color w:val="auto"/>
                <w:vertAlign w:val="subscript"/>
              </w:rPr>
              <w:t>eqg</w:t>
            </w:r>
            <w:r>
              <w:rPr>
                <w:color w:val="auto"/>
              </w:rPr>
              <w:t>—建设项目声源在预测点的噪声贡献值，dB；</w:t>
            </w:r>
          </w:p>
          <w:p w14:paraId="1A1C8F21">
            <w:pPr>
              <w:pStyle w:val="47"/>
              <w:ind w:left="1155" w:leftChars="550" w:firstLine="0" w:firstLineChars="0"/>
              <w:rPr>
                <w:color w:val="auto"/>
              </w:rPr>
            </w:pPr>
            <w:r>
              <w:rPr>
                <w:color w:val="auto"/>
              </w:rPr>
              <w:t>L</w:t>
            </w:r>
            <w:r>
              <w:rPr>
                <w:color w:val="auto"/>
                <w:vertAlign w:val="subscript"/>
              </w:rPr>
              <w:t>eqb</w:t>
            </w:r>
            <w:r>
              <w:rPr>
                <w:color w:val="auto"/>
              </w:rPr>
              <w:t>—预测点的背景噪声值，dB。</w:t>
            </w:r>
          </w:p>
          <w:p w14:paraId="7B136ECB">
            <w:pPr>
              <w:pStyle w:val="47"/>
              <w:ind w:firstLine="480"/>
              <w:rPr>
                <w:color w:val="auto"/>
              </w:rPr>
            </w:pPr>
            <w:r>
              <w:rPr>
                <w:color w:val="auto"/>
              </w:rPr>
              <w:t>预测结果见下</w:t>
            </w:r>
            <w:r>
              <w:rPr>
                <w:color w:val="auto"/>
              </w:rPr>
              <w:fldChar w:fldCharType="begin"/>
            </w:r>
            <w:r>
              <w:rPr>
                <w:color w:val="auto"/>
              </w:rPr>
              <w:instrText xml:space="preserve"> REF _Ref28792 \h </w:instrText>
            </w:r>
            <w:r>
              <w:rPr>
                <w:color w:val="auto"/>
              </w:rPr>
              <w:fldChar w:fldCharType="separate"/>
            </w:r>
            <w:r>
              <w:rPr>
                <w:color w:val="auto"/>
              </w:rPr>
              <w:t>表4- 17</w:t>
            </w:r>
            <w:r>
              <w:rPr>
                <w:color w:val="auto"/>
              </w:rPr>
              <w:fldChar w:fldCharType="end"/>
            </w:r>
            <w:r>
              <w:rPr>
                <w:color w:val="auto"/>
              </w:rPr>
              <w:t>。</w:t>
            </w:r>
          </w:p>
          <w:p w14:paraId="7E9FC002">
            <w:pPr>
              <w:pStyle w:val="7"/>
              <w:rPr>
                <w:color w:val="auto"/>
              </w:rPr>
            </w:pPr>
            <w:bookmarkStart w:id="75" w:name="_Ref28792"/>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17</w:t>
            </w:r>
            <w:r>
              <w:rPr>
                <w:color w:val="auto"/>
              </w:rPr>
              <w:fldChar w:fldCharType="end"/>
            </w:r>
            <w:bookmarkEnd w:id="74"/>
            <w:bookmarkEnd w:id="75"/>
            <w:r>
              <w:rPr>
                <w:color w:val="auto"/>
              </w:rPr>
              <w:t xml:space="preserve"> 厂界噪声预测结果与达标分析表</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506"/>
              <w:gridCol w:w="1511"/>
              <w:gridCol w:w="1506"/>
              <w:gridCol w:w="1513"/>
              <w:gridCol w:w="1299"/>
            </w:tblGrid>
            <w:tr w14:paraId="1F41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 w:hRule="atLeast"/>
                <w:jc w:val="center"/>
              </w:trPr>
              <w:tc>
                <w:tcPr>
                  <w:tcW w:w="636" w:type="pct"/>
                  <w:vMerge w:val="restart"/>
                  <w:shd w:val="clear" w:color="auto" w:fill="auto"/>
                  <w:vAlign w:val="center"/>
                </w:tcPr>
                <w:p w14:paraId="06212B56">
                  <w:pPr>
                    <w:pStyle w:val="49"/>
                    <w:rPr>
                      <w:color w:val="auto"/>
                    </w:rPr>
                  </w:pPr>
                  <w:r>
                    <w:rPr>
                      <w:color w:val="auto"/>
                    </w:rPr>
                    <w:t>预测</w:t>
                  </w:r>
                </w:p>
                <w:p w14:paraId="4870F7BB">
                  <w:pPr>
                    <w:pStyle w:val="49"/>
                    <w:rPr>
                      <w:color w:val="auto"/>
                    </w:rPr>
                  </w:pPr>
                  <w:r>
                    <w:rPr>
                      <w:color w:val="auto"/>
                    </w:rPr>
                    <w:t>方位</w:t>
                  </w:r>
                </w:p>
              </w:tc>
              <w:tc>
                <w:tcPr>
                  <w:tcW w:w="1795" w:type="pct"/>
                  <w:gridSpan w:val="2"/>
                  <w:shd w:val="clear" w:color="auto" w:fill="auto"/>
                  <w:vAlign w:val="center"/>
                </w:tcPr>
                <w:p w14:paraId="700318C6">
                  <w:pPr>
                    <w:pStyle w:val="49"/>
                    <w:rPr>
                      <w:color w:val="auto"/>
                    </w:rPr>
                  </w:pPr>
                  <w:r>
                    <w:rPr>
                      <w:color w:val="auto"/>
                    </w:rPr>
                    <w:t>预测值（dB(A)）</w:t>
                  </w:r>
                </w:p>
              </w:tc>
              <w:tc>
                <w:tcPr>
                  <w:tcW w:w="1794" w:type="pct"/>
                  <w:gridSpan w:val="2"/>
                  <w:shd w:val="clear" w:color="auto" w:fill="auto"/>
                  <w:vAlign w:val="center"/>
                </w:tcPr>
                <w:p w14:paraId="29CF3280">
                  <w:pPr>
                    <w:pStyle w:val="49"/>
                    <w:rPr>
                      <w:color w:val="auto"/>
                    </w:rPr>
                  </w:pPr>
                  <w:r>
                    <w:rPr>
                      <w:color w:val="auto"/>
                    </w:rPr>
                    <w:t>标准限值（dB(A)）</w:t>
                  </w:r>
                </w:p>
              </w:tc>
              <w:tc>
                <w:tcPr>
                  <w:tcW w:w="773" w:type="pct"/>
                  <w:vMerge w:val="restart"/>
                  <w:shd w:val="clear" w:color="auto" w:fill="auto"/>
                  <w:vAlign w:val="center"/>
                </w:tcPr>
                <w:p w14:paraId="40A684DF">
                  <w:pPr>
                    <w:pStyle w:val="49"/>
                    <w:rPr>
                      <w:color w:val="auto"/>
                    </w:rPr>
                  </w:pPr>
                  <w:r>
                    <w:rPr>
                      <w:color w:val="auto"/>
                    </w:rPr>
                    <w:t>达标情况</w:t>
                  </w:r>
                </w:p>
              </w:tc>
            </w:tr>
            <w:tr w14:paraId="14E9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6" w:type="pct"/>
                  <w:vMerge w:val="continue"/>
                  <w:shd w:val="clear" w:color="auto" w:fill="auto"/>
                  <w:vAlign w:val="center"/>
                </w:tcPr>
                <w:p w14:paraId="0EFD8528">
                  <w:pPr>
                    <w:pStyle w:val="49"/>
                    <w:rPr>
                      <w:color w:val="auto"/>
                    </w:rPr>
                  </w:pPr>
                </w:p>
              </w:tc>
              <w:tc>
                <w:tcPr>
                  <w:tcW w:w="1508" w:type="dxa"/>
                  <w:shd w:val="clear" w:color="auto" w:fill="auto"/>
                  <w:vAlign w:val="center"/>
                </w:tcPr>
                <w:p w14:paraId="5553B23E">
                  <w:pPr>
                    <w:pStyle w:val="49"/>
                    <w:rPr>
                      <w:color w:val="auto"/>
                    </w:rPr>
                  </w:pPr>
                  <w:r>
                    <w:rPr>
                      <w:color w:val="auto"/>
                    </w:rPr>
                    <w:t>昼间</w:t>
                  </w:r>
                </w:p>
              </w:tc>
              <w:tc>
                <w:tcPr>
                  <w:tcW w:w="1510" w:type="dxa"/>
                  <w:shd w:val="clear" w:color="auto" w:fill="auto"/>
                  <w:vAlign w:val="center"/>
                </w:tcPr>
                <w:p w14:paraId="57C4E1F0">
                  <w:pPr>
                    <w:pStyle w:val="49"/>
                    <w:rPr>
                      <w:color w:val="auto"/>
                    </w:rPr>
                  </w:pPr>
                  <w:r>
                    <w:rPr>
                      <w:color w:val="auto"/>
                    </w:rPr>
                    <w:t>夜间</w:t>
                  </w:r>
                </w:p>
              </w:tc>
              <w:tc>
                <w:tcPr>
                  <w:tcW w:w="895" w:type="pct"/>
                  <w:shd w:val="clear" w:color="auto" w:fill="auto"/>
                  <w:vAlign w:val="center"/>
                </w:tcPr>
                <w:p w14:paraId="62051F91">
                  <w:pPr>
                    <w:pStyle w:val="49"/>
                    <w:rPr>
                      <w:color w:val="auto"/>
                    </w:rPr>
                  </w:pPr>
                  <w:r>
                    <w:rPr>
                      <w:color w:val="auto"/>
                    </w:rPr>
                    <w:t>昼间</w:t>
                  </w:r>
                </w:p>
              </w:tc>
              <w:tc>
                <w:tcPr>
                  <w:tcW w:w="898" w:type="pct"/>
                  <w:shd w:val="clear" w:color="auto" w:fill="auto"/>
                  <w:vAlign w:val="center"/>
                </w:tcPr>
                <w:p w14:paraId="75430A64">
                  <w:pPr>
                    <w:pStyle w:val="49"/>
                    <w:rPr>
                      <w:color w:val="auto"/>
                    </w:rPr>
                  </w:pPr>
                  <w:r>
                    <w:rPr>
                      <w:color w:val="auto"/>
                    </w:rPr>
                    <w:t>夜间</w:t>
                  </w:r>
                </w:p>
              </w:tc>
              <w:tc>
                <w:tcPr>
                  <w:tcW w:w="773" w:type="pct"/>
                  <w:vMerge w:val="continue"/>
                  <w:shd w:val="clear" w:color="auto" w:fill="auto"/>
                  <w:vAlign w:val="center"/>
                </w:tcPr>
                <w:p w14:paraId="41B12F54">
                  <w:pPr>
                    <w:rPr>
                      <w:color w:val="auto"/>
                    </w:rPr>
                  </w:pPr>
                </w:p>
              </w:tc>
            </w:tr>
            <w:tr w14:paraId="776E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6" w:type="pct"/>
                  <w:shd w:val="clear" w:color="auto" w:fill="auto"/>
                  <w:vAlign w:val="center"/>
                </w:tcPr>
                <w:p w14:paraId="160E199B">
                  <w:pPr>
                    <w:pStyle w:val="51"/>
                    <w:rPr>
                      <w:color w:val="auto"/>
                    </w:rPr>
                  </w:pPr>
                  <w:r>
                    <w:rPr>
                      <w:color w:val="auto"/>
                    </w:rPr>
                    <w:t>东侧</w:t>
                  </w:r>
                </w:p>
              </w:tc>
              <w:tc>
                <w:tcPr>
                  <w:tcW w:w="1438" w:type="dxa"/>
                  <w:shd w:val="clear" w:color="auto" w:fill="auto"/>
                  <w:vAlign w:val="center"/>
                </w:tcPr>
                <w:p w14:paraId="471A52ED">
                  <w:pPr>
                    <w:pStyle w:val="51"/>
                    <w:rPr>
                      <w:color w:val="auto"/>
                    </w:rPr>
                  </w:pPr>
                  <w:r>
                    <w:rPr>
                      <w:color w:val="auto"/>
                    </w:rPr>
                    <w:t xml:space="preserve">50.48 </w:t>
                  </w:r>
                </w:p>
              </w:tc>
              <w:tc>
                <w:tcPr>
                  <w:tcW w:w="1440" w:type="dxa"/>
                  <w:shd w:val="clear" w:color="auto" w:fill="auto"/>
                  <w:vAlign w:val="center"/>
                </w:tcPr>
                <w:p w14:paraId="4A31EE45">
                  <w:pPr>
                    <w:pStyle w:val="51"/>
                    <w:rPr>
                      <w:color w:val="auto"/>
                    </w:rPr>
                  </w:pPr>
                  <w:r>
                    <w:rPr>
                      <w:color w:val="auto"/>
                    </w:rPr>
                    <w:t xml:space="preserve">50.48 </w:t>
                  </w:r>
                </w:p>
              </w:tc>
              <w:tc>
                <w:tcPr>
                  <w:tcW w:w="895" w:type="pct"/>
                  <w:shd w:val="clear" w:color="auto" w:fill="auto"/>
                  <w:vAlign w:val="center"/>
                </w:tcPr>
                <w:p w14:paraId="67C04C38">
                  <w:pPr>
                    <w:pStyle w:val="51"/>
                    <w:rPr>
                      <w:color w:val="auto"/>
                    </w:rPr>
                  </w:pPr>
                  <w:r>
                    <w:rPr>
                      <w:color w:val="auto"/>
                    </w:rPr>
                    <w:t>65</w:t>
                  </w:r>
                </w:p>
              </w:tc>
              <w:tc>
                <w:tcPr>
                  <w:tcW w:w="898" w:type="pct"/>
                  <w:shd w:val="clear" w:color="auto" w:fill="auto"/>
                  <w:vAlign w:val="center"/>
                </w:tcPr>
                <w:p w14:paraId="26E74F99">
                  <w:pPr>
                    <w:pStyle w:val="51"/>
                    <w:rPr>
                      <w:color w:val="auto"/>
                    </w:rPr>
                  </w:pPr>
                  <w:r>
                    <w:rPr>
                      <w:color w:val="auto"/>
                    </w:rPr>
                    <w:t>55</w:t>
                  </w:r>
                </w:p>
              </w:tc>
              <w:tc>
                <w:tcPr>
                  <w:tcW w:w="773" w:type="pct"/>
                  <w:shd w:val="clear" w:color="auto" w:fill="auto"/>
                  <w:vAlign w:val="center"/>
                </w:tcPr>
                <w:p w14:paraId="4F2AA7B6">
                  <w:pPr>
                    <w:pStyle w:val="51"/>
                    <w:rPr>
                      <w:color w:val="auto"/>
                    </w:rPr>
                  </w:pPr>
                  <w:r>
                    <w:rPr>
                      <w:color w:val="auto"/>
                    </w:rPr>
                    <w:t>达标</w:t>
                  </w:r>
                </w:p>
              </w:tc>
            </w:tr>
            <w:tr w14:paraId="76FF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636" w:type="pct"/>
                  <w:shd w:val="clear" w:color="auto" w:fill="auto"/>
                  <w:vAlign w:val="center"/>
                </w:tcPr>
                <w:p w14:paraId="1EA0B2EB">
                  <w:pPr>
                    <w:pStyle w:val="51"/>
                    <w:rPr>
                      <w:color w:val="auto"/>
                    </w:rPr>
                  </w:pPr>
                  <w:r>
                    <w:rPr>
                      <w:color w:val="auto"/>
                    </w:rPr>
                    <w:t>南侧</w:t>
                  </w:r>
                </w:p>
              </w:tc>
              <w:tc>
                <w:tcPr>
                  <w:tcW w:w="1438" w:type="dxa"/>
                  <w:shd w:val="clear" w:color="auto" w:fill="auto"/>
                  <w:vAlign w:val="center"/>
                </w:tcPr>
                <w:p w14:paraId="6C55B679">
                  <w:pPr>
                    <w:pStyle w:val="51"/>
                    <w:rPr>
                      <w:color w:val="auto"/>
                    </w:rPr>
                  </w:pPr>
                  <w:r>
                    <w:rPr>
                      <w:color w:val="auto"/>
                    </w:rPr>
                    <w:t xml:space="preserve">54.69 </w:t>
                  </w:r>
                </w:p>
              </w:tc>
              <w:tc>
                <w:tcPr>
                  <w:tcW w:w="1440" w:type="dxa"/>
                  <w:shd w:val="clear" w:color="auto" w:fill="auto"/>
                  <w:vAlign w:val="center"/>
                </w:tcPr>
                <w:p w14:paraId="2B1D98C2">
                  <w:pPr>
                    <w:pStyle w:val="51"/>
                    <w:rPr>
                      <w:color w:val="auto"/>
                    </w:rPr>
                  </w:pPr>
                  <w:r>
                    <w:rPr>
                      <w:color w:val="auto"/>
                    </w:rPr>
                    <w:t xml:space="preserve">54.69 </w:t>
                  </w:r>
                </w:p>
              </w:tc>
              <w:tc>
                <w:tcPr>
                  <w:tcW w:w="895" w:type="pct"/>
                  <w:shd w:val="clear" w:color="auto" w:fill="auto"/>
                  <w:vAlign w:val="center"/>
                </w:tcPr>
                <w:p w14:paraId="5EE261D3">
                  <w:pPr>
                    <w:pStyle w:val="51"/>
                    <w:rPr>
                      <w:color w:val="auto"/>
                    </w:rPr>
                  </w:pPr>
                  <w:r>
                    <w:rPr>
                      <w:color w:val="auto"/>
                    </w:rPr>
                    <w:t>65</w:t>
                  </w:r>
                </w:p>
              </w:tc>
              <w:tc>
                <w:tcPr>
                  <w:tcW w:w="898" w:type="pct"/>
                  <w:shd w:val="clear" w:color="auto" w:fill="auto"/>
                  <w:vAlign w:val="center"/>
                </w:tcPr>
                <w:p w14:paraId="0C8F1FEE">
                  <w:pPr>
                    <w:pStyle w:val="51"/>
                    <w:rPr>
                      <w:color w:val="auto"/>
                    </w:rPr>
                  </w:pPr>
                  <w:r>
                    <w:rPr>
                      <w:color w:val="auto"/>
                    </w:rPr>
                    <w:t>55</w:t>
                  </w:r>
                </w:p>
              </w:tc>
              <w:tc>
                <w:tcPr>
                  <w:tcW w:w="773" w:type="pct"/>
                  <w:shd w:val="clear" w:color="auto" w:fill="auto"/>
                  <w:vAlign w:val="center"/>
                </w:tcPr>
                <w:p w14:paraId="1A7FBC74">
                  <w:pPr>
                    <w:pStyle w:val="51"/>
                    <w:rPr>
                      <w:color w:val="auto"/>
                    </w:rPr>
                  </w:pPr>
                  <w:r>
                    <w:rPr>
                      <w:color w:val="auto"/>
                    </w:rPr>
                    <w:t>达标</w:t>
                  </w:r>
                </w:p>
              </w:tc>
            </w:tr>
            <w:tr w14:paraId="023A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6" w:type="pct"/>
                  <w:shd w:val="clear" w:color="auto" w:fill="auto"/>
                  <w:vAlign w:val="center"/>
                </w:tcPr>
                <w:p w14:paraId="432C1221">
                  <w:pPr>
                    <w:pStyle w:val="51"/>
                    <w:rPr>
                      <w:color w:val="auto"/>
                    </w:rPr>
                  </w:pPr>
                  <w:r>
                    <w:rPr>
                      <w:color w:val="auto"/>
                    </w:rPr>
                    <w:t>西侧</w:t>
                  </w:r>
                </w:p>
              </w:tc>
              <w:tc>
                <w:tcPr>
                  <w:tcW w:w="1438" w:type="dxa"/>
                  <w:shd w:val="clear" w:color="auto" w:fill="auto"/>
                  <w:vAlign w:val="center"/>
                </w:tcPr>
                <w:p w14:paraId="702AA501">
                  <w:pPr>
                    <w:pStyle w:val="51"/>
                    <w:rPr>
                      <w:color w:val="auto"/>
                    </w:rPr>
                  </w:pPr>
                  <w:r>
                    <w:rPr>
                      <w:color w:val="auto"/>
                    </w:rPr>
                    <w:t xml:space="preserve">47.70 </w:t>
                  </w:r>
                </w:p>
              </w:tc>
              <w:tc>
                <w:tcPr>
                  <w:tcW w:w="1440" w:type="dxa"/>
                  <w:shd w:val="clear" w:color="auto" w:fill="auto"/>
                  <w:vAlign w:val="center"/>
                </w:tcPr>
                <w:p w14:paraId="60A44F69">
                  <w:pPr>
                    <w:pStyle w:val="51"/>
                    <w:rPr>
                      <w:color w:val="auto"/>
                    </w:rPr>
                  </w:pPr>
                  <w:r>
                    <w:rPr>
                      <w:color w:val="auto"/>
                    </w:rPr>
                    <w:t xml:space="preserve">47.70 </w:t>
                  </w:r>
                </w:p>
              </w:tc>
              <w:tc>
                <w:tcPr>
                  <w:tcW w:w="895" w:type="pct"/>
                  <w:shd w:val="clear" w:color="auto" w:fill="auto"/>
                  <w:vAlign w:val="center"/>
                </w:tcPr>
                <w:p w14:paraId="4176FCD6">
                  <w:pPr>
                    <w:pStyle w:val="51"/>
                    <w:rPr>
                      <w:color w:val="auto"/>
                    </w:rPr>
                  </w:pPr>
                  <w:r>
                    <w:rPr>
                      <w:color w:val="auto"/>
                    </w:rPr>
                    <w:t>65</w:t>
                  </w:r>
                </w:p>
              </w:tc>
              <w:tc>
                <w:tcPr>
                  <w:tcW w:w="898" w:type="pct"/>
                  <w:shd w:val="clear" w:color="auto" w:fill="auto"/>
                  <w:vAlign w:val="center"/>
                </w:tcPr>
                <w:p w14:paraId="2E7FD598">
                  <w:pPr>
                    <w:pStyle w:val="51"/>
                    <w:rPr>
                      <w:color w:val="auto"/>
                    </w:rPr>
                  </w:pPr>
                  <w:r>
                    <w:rPr>
                      <w:color w:val="auto"/>
                    </w:rPr>
                    <w:t>55</w:t>
                  </w:r>
                </w:p>
              </w:tc>
              <w:tc>
                <w:tcPr>
                  <w:tcW w:w="773" w:type="pct"/>
                  <w:shd w:val="clear" w:color="auto" w:fill="auto"/>
                  <w:vAlign w:val="center"/>
                </w:tcPr>
                <w:p w14:paraId="048534F2">
                  <w:pPr>
                    <w:pStyle w:val="51"/>
                    <w:rPr>
                      <w:color w:val="auto"/>
                    </w:rPr>
                  </w:pPr>
                  <w:r>
                    <w:rPr>
                      <w:color w:val="auto"/>
                    </w:rPr>
                    <w:t>达标</w:t>
                  </w:r>
                </w:p>
              </w:tc>
            </w:tr>
            <w:tr w14:paraId="2202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6" w:type="pct"/>
                  <w:shd w:val="clear" w:color="auto" w:fill="auto"/>
                  <w:vAlign w:val="center"/>
                </w:tcPr>
                <w:p w14:paraId="3B12642C">
                  <w:pPr>
                    <w:pStyle w:val="51"/>
                    <w:rPr>
                      <w:color w:val="auto"/>
                    </w:rPr>
                  </w:pPr>
                  <w:r>
                    <w:rPr>
                      <w:color w:val="auto"/>
                    </w:rPr>
                    <w:t>北侧</w:t>
                  </w:r>
                </w:p>
              </w:tc>
              <w:tc>
                <w:tcPr>
                  <w:tcW w:w="1438" w:type="dxa"/>
                  <w:shd w:val="clear" w:color="auto" w:fill="auto"/>
                  <w:vAlign w:val="center"/>
                </w:tcPr>
                <w:p w14:paraId="7EE99981">
                  <w:pPr>
                    <w:pStyle w:val="51"/>
                    <w:rPr>
                      <w:color w:val="auto"/>
                    </w:rPr>
                  </w:pPr>
                  <w:r>
                    <w:rPr>
                      <w:color w:val="auto"/>
                    </w:rPr>
                    <w:t xml:space="preserve">42.56 </w:t>
                  </w:r>
                </w:p>
              </w:tc>
              <w:tc>
                <w:tcPr>
                  <w:tcW w:w="1440" w:type="dxa"/>
                  <w:shd w:val="clear" w:color="auto" w:fill="auto"/>
                  <w:vAlign w:val="center"/>
                </w:tcPr>
                <w:p w14:paraId="10D69013">
                  <w:pPr>
                    <w:pStyle w:val="51"/>
                    <w:rPr>
                      <w:color w:val="auto"/>
                    </w:rPr>
                  </w:pPr>
                  <w:r>
                    <w:rPr>
                      <w:color w:val="auto"/>
                    </w:rPr>
                    <w:t xml:space="preserve">42.56 </w:t>
                  </w:r>
                </w:p>
              </w:tc>
              <w:tc>
                <w:tcPr>
                  <w:tcW w:w="895" w:type="pct"/>
                  <w:shd w:val="clear" w:color="auto" w:fill="auto"/>
                  <w:vAlign w:val="center"/>
                </w:tcPr>
                <w:p w14:paraId="11EF69EE">
                  <w:pPr>
                    <w:pStyle w:val="51"/>
                    <w:rPr>
                      <w:color w:val="auto"/>
                    </w:rPr>
                  </w:pPr>
                  <w:r>
                    <w:rPr>
                      <w:color w:val="auto"/>
                    </w:rPr>
                    <w:t>65</w:t>
                  </w:r>
                </w:p>
              </w:tc>
              <w:tc>
                <w:tcPr>
                  <w:tcW w:w="898" w:type="pct"/>
                  <w:shd w:val="clear" w:color="auto" w:fill="auto"/>
                  <w:vAlign w:val="center"/>
                </w:tcPr>
                <w:p w14:paraId="78CA6F39">
                  <w:pPr>
                    <w:pStyle w:val="51"/>
                    <w:rPr>
                      <w:color w:val="auto"/>
                    </w:rPr>
                  </w:pPr>
                  <w:r>
                    <w:rPr>
                      <w:color w:val="auto"/>
                    </w:rPr>
                    <w:t>55</w:t>
                  </w:r>
                </w:p>
              </w:tc>
              <w:tc>
                <w:tcPr>
                  <w:tcW w:w="773" w:type="pct"/>
                  <w:shd w:val="clear" w:color="auto" w:fill="auto"/>
                  <w:vAlign w:val="center"/>
                </w:tcPr>
                <w:p w14:paraId="5C3BB623">
                  <w:pPr>
                    <w:pStyle w:val="51"/>
                    <w:rPr>
                      <w:color w:val="auto"/>
                    </w:rPr>
                  </w:pPr>
                  <w:r>
                    <w:rPr>
                      <w:color w:val="auto"/>
                    </w:rPr>
                    <w:t>达标</w:t>
                  </w:r>
                </w:p>
              </w:tc>
            </w:tr>
          </w:tbl>
          <w:p w14:paraId="64BD304E">
            <w:pPr>
              <w:pStyle w:val="47"/>
              <w:ind w:firstLine="480"/>
              <w:rPr>
                <w:color w:val="auto"/>
              </w:rPr>
            </w:pPr>
            <w:r>
              <w:rPr>
                <w:color w:val="auto"/>
              </w:rPr>
              <w:t>由</w:t>
            </w:r>
            <w:r>
              <w:rPr>
                <w:color w:val="auto"/>
              </w:rPr>
              <w:fldChar w:fldCharType="begin"/>
            </w:r>
            <w:r>
              <w:rPr>
                <w:color w:val="auto"/>
              </w:rPr>
              <w:instrText xml:space="preserve"> REF _Ref28792 \h </w:instrText>
            </w:r>
            <w:r>
              <w:rPr>
                <w:color w:val="auto"/>
              </w:rPr>
              <w:fldChar w:fldCharType="separate"/>
            </w:r>
            <w:r>
              <w:rPr>
                <w:color w:val="auto"/>
              </w:rPr>
              <w:t>表4- 17</w:t>
            </w:r>
            <w:r>
              <w:rPr>
                <w:color w:val="auto"/>
              </w:rPr>
              <w:fldChar w:fldCharType="end"/>
            </w:r>
            <w:r>
              <w:rPr>
                <w:color w:val="auto"/>
              </w:rPr>
              <w:t>可知，本项目运行后厂界噪声满足《工业企业厂界环境噪声排放标准》（GB12348-2008）中3类标准限值要求。</w:t>
            </w:r>
          </w:p>
          <w:p w14:paraId="432CFA3B">
            <w:pPr>
              <w:pStyle w:val="47"/>
              <w:ind w:firstLine="482"/>
              <w:rPr>
                <w:b/>
                <w:bCs/>
                <w:color w:val="auto"/>
              </w:rPr>
            </w:pPr>
            <w:r>
              <w:rPr>
                <w:b/>
                <w:bCs/>
                <w:color w:val="auto"/>
              </w:rPr>
              <w:t>（4）监测计划</w:t>
            </w:r>
          </w:p>
          <w:p w14:paraId="7F0C6642">
            <w:pPr>
              <w:pStyle w:val="47"/>
              <w:ind w:firstLine="480"/>
              <w:rPr>
                <w:color w:val="auto"/>
              </w:rPr>
            </w:pPr>
            <w:r>
              <w:rPr>
                <w:color w:val="auto"/>
              </w:rPr>
              <w:t>根据《排污单位自行监测技术指南 纺织印染工业》（HJ8</w:t>
            </w:r>
            <w:r>
              <w:rPr>
                <w:rFonts w:hint="eastAsia"/>
                <w:color w:val="auto"/>
              </w:rPr>
              <w:t>7</w:t>
            </w:r>
            <w:r>
              <w:rPr>
                <w:color w:val="auto"/>
              </w:rPr>
              <w:t>9-2017），本项目建成后厂界噪声监测计划见</w:t>
            </w:r>
            <w:r>
              <w:rPr>
                <w:color w:val="auto"/>
              </w:rPr>
              <w:fldChar w:fldCharType="begin"/>
            </w:r>
            <w:r>
              <w:rPr>
                <w:color w:val="auto"/>
              </w:rPr>
              <w:instrText xml:space="preserve"> REF _Ref6164 \h </w:instrText>
            </w:r>
            <w:r>
              <w:rPr>
                <w:color w:val="auto"/>
              </w:rPr>
              <w:fldChar w:fldCharType="separate"/>
            </w:r>
            <w:r>
              <w:rPr>
                <w:color w:val="auto"/>
              </w:rPr>
              <w:t>表4- 18</w:t>
            </w:r>
            <w:r>
              <w:rPr>
                <w:color w:val="auto"/>
              </w:rPr>
              <w:fldChar w:fldCharType="end"/>
            </w:r>
            <w:r>
              <w:rPr>
                <w:color w:val="auto"/>
              </w:rPr>
              <w:t>。</w:t>
            </w:r>
          </w:p>
          <w:p w14:paraId="247D1D5E">
            <w:pPr>
              <w:pStyle w:val="7"/>
              <w:rPr>
                <w:color w:val="auto"/>
              </w:rPr>
            </w:pPr>
            <w:bookmarkStart w:id="76" w:name="_Ref6164"/>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18</w:t>
            </w:r>
            <w:r>
              <w:rPr>
                <w:color w:val="auto"/>
              </w:rPr>
              <w:fldChar w:fldCharType="end"/>
            </w:r>
            <w:bookmarkEnd w:id="76"/>
            <w:r>
              <w:rPr>
                <w:color w:val="auto"/>
              </w:rPr>
              <w:t xml:space="preserve"> 噪声环境监测计划</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255"/>
              <w:gridCol w:w="1778"/>
              <w:gridCol w:w="1163"/>
              <w:gridCol w:w="3520"/>
            </w:tblGrid>
            <w:tr w14:paraId="3CC3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9" w:type="pct"/>
                  <w:tcBorders>
                    <w:tl2br w:val="nil"/>
                    <w:tr2bl w:val="nil"/>
                  </w:tcBorders>
                  <w:vAlign w:val="center"/>
                </w:tcPr>
                <w:p w14:paraId="7BA3097F">
                  <w:pPr>
                    <w:pStyle w:val="49"/>
                    <w:rPr>
                      <w:color w:val="auto"/>
                    </w:rPr>
                  </w:pPr>
                  <w:r>
                    <w:rPr>
                      <w:color w:val="auto"/>
                    </w:rPr>
                    <w:t>类别</w:t>
                  </w:r>
                </w:p>
              </w:tc>
              <w:tc>
                <w:tcPr>
                  <w:tcW w:w="746" w:type="pct"/>
                  <w:tcBorders>
                    <w:tl2br w:val="nil"/>
                    <w:tr2bl w:val="nil"/>
                  </w:tcBorders>
                  <w:vAlign w:val="center"/>
                </w:tcPr>
                <w:p w14:paraId="1D5DB48C">
                  <w:pPr>
                    <w:pStyle w:val="49"/>
                    <w:rPr>
                      <w:color w:val="auto"/>
                    </w:rPr>
                  </w:pPr>
                  <w:r>
                    <w:rPr>
                      <w:color w:val="auto"/>
                    </w:rPr>
                    <w:t>监测点位</w:t>
                  </w:r>
                </w:p>
              </w:tc>
              <w:tc>
                <w:tcPr>
                  <w:tcW w:w="1057" w:type="pct"/>
                  <w:tcBorders>
                    <w:tl2br w:val="nil"/>
                    <w:tr2bl w:val="nil"/>
                  </w:tcBorders>
                  <w:vAlign w:val="center"/>
                </w:tcPr>
                <w:p w14:paraId="00905348">
                  <w:pPr>
                    <w:pStyle w:val="49"/>
                    <w:rPr>
                      <w:color w:val="auto"/>
                    </w:rPr>
                  </w:pPr>
                  <w:r>
                    <w:rPr>
                      <w:color w:val="auto"/>
                    </w:rPr>
                    <w:t>监测项目</w:t>
                  </w:r>
                </w:p>
              </w:tc>
              <w:tc>
                <w:tcPr>
                  <w:tcW w:w="692" w:type="pct"/>
                  <w:tcBorders>
                    <w:tl2br w:val="nil"/>
                    <w:tr2bl w:val="nil"/>
                  </w:tcBorders>
                  <w:vAlign w:val="center"/>
                </w:tcPr>
                <w:p w14:paraId="3F986F7C">
                  <w:pPr>
                    <w:pStyle w:val="49"/>
                    <w:rPr>
                      <w:color w:val="auto"/>
                    </w:rPr>
                  </w:pPr>
                  <w:r>
                    <w:rPr>
                      <w:color w:val="auto"/>
                    </w:rPr>
                    <w:t>监测频次</w:t>
                  </w:r>
                </w:p>
              </w:tc>
              <w:tc>
                <w:tcPr>
                  <w:tcW w:w="2093" w:type="pct"/>
                  <w:tcBorders>
                    <w:tl2br w:val="nil"/>
                    <w:tr2bl w:val="nil"/>
                  </w:tcBorders>
                  <w:vAlign w:val="center"/>
                </w:tcPr>
                <w:p w14:paraId="5D10343B">
                  <w:pPr>
                    <w:pStyle w:val="49"/>
                    <w:rPr>
                      <w:color w:val="auto"/>
                    </w:rPr>
                  </w:pPr>
                  <w:r>
                    <w:rPr>
                      <w:color w:val="auto"/>
                    </w:rPr>
                    <w:t>排放标准</w:t>
                  </w:r>
                </w:p>
              </w:tc>
            </w:tr>
            <w:tr w14:paraId="71B0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9" w:type="pct"/>
                  <w:tcBorders>
                    <w:tl2br w:val="nil"/>
                    <w:tr2bl w:val="nil"/>
                  </w:tcBorders>
                  <w:vAlign w:val="center"/>
                </w:tcPr>
                <w:p w14:paraId="33F3DF9E">
                  <w:pPr>
                    <w:pStyle w:val="51"/>
                    <w:rPr>
                      <w:color w:val="auto"/>
                    </w:rPr>
                  </w:pPr>
                  <w:r>
                    <w:rPr>
                      <w:color w:val="auto"/>
                    </w:rPr>
                    <w:t>噪声</w:t>
                  </w:r>
                </w:p>
              </w:tc>
              <w:tc>
                <w:tcPr>
                  <w:tcW w:w="746" w:type="pct"/>
                  <w:tcBorders>
                    <w:tl2br w:val="nil"/>
                    <w:tr2bl w:val="nil"/>
                  </w:tcBorders>
                  <w:vAlign w:val="center"/>
                </w:tcPr>
                <w:p w14:paraId="79929000">
                  <w:pPr>
                    <w:pStyle w:val="51"/>
                    <w:rPr>
                      <w:color w:val="auto"/>
                    </w:rPr>
                  </w:pPr>
                  <w:r>
                    <w:rPr>
                      <w:color w:val="auto"/>
                    </w:rPr>
                    <w:t>厂界四周</w:t>
                  </w:r>
                </w:p>
              </w:tc>
              <w:tc>
                <w:tcPr>
                  <w:tcW w:w="1057" w:type="pct"/>
                  <w:tcBorders>
                    <w:tl2br w:val="nil"/>
                    <w:tr2bl w:val="nil"/>
                  </w:tcBorders>
                  <w:vAlign w:val="center"/>
                </w:tcPr>
                <w:p w14:paraId="51DE224E">
                  <w:pPr>
                    <w:pStyle w:val="51"/>
                    <w:rPr>
                      <w:color w:val="auto"/>
                    </w:rPr>
                  </w:pPr>
                  <w:r>
                    <w:rPr>
                      <w:color w:val="auto"/>
                    </w:rPr>
                    <w:t>等效连续A声级</w:t>
                  </w:r>
                </w:p>
              </w:tc>
              <w:tc>
                <w:tcPr>
                  <w:tcW w:w="692" w:type="pct"/>
                  <w:tcBorders>
                    <w:tl2br w:val="nil"/>
                    <w:tr2bl w:val="nil"/>
                  </w:tcBorders>
                  <w:vAlign w:val="center"/>
                </w:tcPr>
                <w:p w14:paraId="7E6B6A8F">
                  <w:pPr>
                    <w:pStyle w:val="51"/>
                    <w:rPr>
                      <w:color w:val="auto"/>
                    </w:rPr>
                  </w:pPr>
                  <w:r>
                    <w:rPr>
                      <w:color w:val="auto"/>
                    </w:rPr>
                    <w:t>1次/季</w:t>
                  </w:r>
                </w:p>
              </w:tc>
              <w:tc>
                <w:tcPr>
                  <w:tcW w:w="2093" w:type="pct"/>
                  <w:tcBorders>
                    <w:tl2br w:val="nil"/>
                    <w:tr2bl w:val="nil"/>
                  </w:tcBorders>
                  <w:vAlign w:val="center"/>
                </w:tcPr>
                <w:p w14:paraId="59CA3DA6">
                  <w:pPr>
                    <w:pStyle w:val="51"/>
                    <w:rPr>
                      <w:color w:val="auto"/>
                    </w:rPr>
                  </w:pPr>
                  <w:r>
                    <w:rPr>
                      <w:color w:val="auto"/>
                    </w:rPr>
                    <w:t>《工业企业厂界环境噪声排放标准》（GB12348-2008）3 类</w:t>
                  </w:r>
                </w:p>
              </w:tc>
            </w:tr>
          </w:tbl>
          <w:p w14:paraId="260F39E7">
            <w:pPr>
              <w:pStyle w:val="47"/>
              <w:ind w:firstLine="482"/>
              <w:rPr>
                <w:b/>
                <w:bCs/>
                <w:color w:val="auto"/>
              </w:rPr>
            </w:pPr>
            <w:r>
              <w:rPr>
                <w:b/>
                <w:bCs/>
                <w:color w:val="auto"/>
              </w:rPr>
              <w:t>4、固体废物环境影响和保护措施</w:t>
            </w:r>
          </w:p>
          <w:p w14:paraId="7130940F">
            <w:pPr>
              <w:pStyle w:val="47"/>
              <w:ind w:firstLine="482"/>
              <w:rPr>
                <w:b/>
                <w:bCs/>
                <w:color w:val="auto"/>
              </w:rPr>
            </w:pPr>
            <w:r>
              <w:rPr>
                <w:b/>
                <w:bCs/>
                <w:color w:val="auto"/>
              </w:rPr>
              <w:t>（1）固体废物源强核算</w:t>
            </w:r>
          </w:p>
          <w:p w14:paraId="7431F8F9">
            <w:pPr>
              <w:pStyle w:val="47"/>
              <w:ind w:firstLine="480"/>
              <w:rPr>
                <w:color w:val="auto"/>
              </w:rPr>
            </w:pPr>
            <w:r>
              <w:rPr>
                <w:color w:val="auto"/>
              </w:rPr>
              <w:t>本项目运营过程中产生的固体废物主要为</w:t>
            </w:r>
            <w:r>
              <w:rPr>
                <w:rFonts w:hint="eastAsia"/>
                <w:color w:val="auto"/>
              </w:rPr>
              <w:t>废丝、废磨毛料、废布、废过滤介质、生化污泥、物化污泥、废加弹油、废机油、废机油桶</w:t>
            </w:r>
            <w:r>
              <w:rPr>
                <w:color w:val="auto"/>
              </w:rPr>
              <w:t>、</w:t>
            </w:r>
            <w:r>
              <w:rPr>
                <w:rFonts w:hint="eastAsia"/>
                <w:color w:val="auto"/>
              </w:rPr>
              <w:t>废包装材料、职工</w:t>
            </w:r>
            <w:r>
              <w:rPr>
                <w:color w:val="auto"/>
              </w:rPr>
              <w:t>生活垃圾。</w:t>
            </w:r>
          </w:p>
          <w:p w14:paraId="3E7E6434">
            <w:pPr>
              <w:pStyle w:val="47"/>
              <w:ind w:firstLine="482"/>
              <w:rPr>
                <w:b/>
                <w:bCs/>
                <w:color w:val="auto"/>
              </w:rPr>
            </w:pPr>
            <w:r>
              <w:rPr>
                <w:b/>
                <w:bCs/>
                <w:color w:val="auto"/>
              </w:rPr>
              <w:t>①</w:t>
            </w:r>
            <w:r>
              <w:rPr>
                <w:rFonts w:hint="eastAsia"/>
                <w:b/>
                <w:bCs/>
                <w:color w:val="auto"/>
              </w:rPr>
              <w:t>废丝</w:t>
            </w:r>
          </w:p>
          <w:p w14:paraId="652A77F7">
            <w:pPr>
              <w:pStyle w:val="47"/>
              <w:bidi w:val="0"/>
              <w:rPr>
                <w:color w:val="auto"/>
              </w:rPr>
            </w:pPr>
            <w:r>
              <w:rPr>
                <w:rFonts w:hint="eastAsia"/>
                <w:color w:val="auto"/>
              </w:rPr>
              <w:t>本项目加弹、喷水织造、整经工序工序会产生少量废丝，废丝产生量约为POY丝原料的1%。本项目POY丝使用量为20000t/a，则废丝产生量为200t/a。废丝收集后暂存一般固废库，定期外售综合利用。</w:t>
            </w:r>
          </w:p>
          <w:p w14:paraId="0BC0BC7E">
            <w:pPr>
              <w:pStyle w:val="47"/>
              <w:ind w:firstLine="482"/>
              <w:rPr>
                <w:b/>
                <w:bCs/>
                <w:color w:val="auto"/>
              </w:rPr>
            </w:pPr>
            <w:r>
              <w:rPr>
                <w:b/>
                <w:bCs/>
                <w:color w:val="auto"/>
              </w:rPr>
              <w:t>②</w:t>
            </w:r>
            <w:r>
              <w:rPr>
                <w:rFonts w:hint="eastAsia"/>
                <w:b/>
                <w:bCs/>
                <w:color w:val="auto"/>
              </w:rPr>
              <w:t>废磨毛料</w:t>
            </w:r>
          </w:p>
          <w:p w14:paraId="50289D0A">
            <w:pPr>
              <w:pStyle w:val="47"/>
              <w:ind w:firstLine="480"/>
              <w:rPr>
                <w:color w:val="auto"/>
              </w:rPr>
            </w:pPr>
            <w:r>
              <w:rPr>
                <w:rFonts w:hint="eastAsia"/>
                <w:color w:val="auto"/>
              </w:rPr>
              <w:t>本项目磨毛工序采用湿式磨毛工艺，磨毛水循环使用，废磨毛料需定期打捞，废磨毛料为POY丝原料的0.5</w:t>
            </w:r>
            <w:r>
              <w:rPr>
                <w:color w:val="auto"/>
              </w:rPr>
              <w:t>‰</w:t>
            </w:r>
            <w:r>
              <w:rPr>
                <w:rFonts w:hint="eastAsia"/>
                <w:color w:val="auto"/>
              </w:rPr>
              <w:t>。本项目POY丝使用量为20000t/a，则废磨毛料产生量为10t/a。废磨毛料沥干后收集，暂存一般固废库，定期外售综合利用。</w:t>
            </w:r>
          </w:p>
          <w:p w14:paraId="023060A1">
            <w:pPr>
              <w:pStyle w:val="47"/>
              <w:ind w:firstLine="482"/>
              <w:rPr>
                <w:b/>
                <w:bCs/>
                <w:color w:val="auto"/>
              </w:rPr>
            </w:pPr>
            <w:r>
              <w:rPr>
                <w:b/>
                <w:bCs/>
                <w:color w:val="auto"/>
              </w:rPr>
              <w:t>③</w:t>
            </w:r>
            <w:r>
              <w:rPr>
                <w:rFonts w:hint="eastAsia"/>
                <w:b/>
                <w:bCs/>
                <w:color w:val="auto"/>
              </w:rPr>
              <w:t>废布</w:t>
            </w:r>
          </w:p>
          <w:p w14:paraId="3A4A5B3A">
            <w:pPr>
              <w:pStyle w:val="47"/>
              <w:ind w:firstLine="480"/>
              <w:rPr>
                <w:color w:val="auto"/>
              </w:rPr>
            </w:pPr>
            <w:r>
              <w:rPr>
                <w:rFonts w:hint="eastAsia"/>
                <w:color w:val="auto"/>
              </w:rPr>
              <w:t>本项目</w:t>
            </w:r>
            <w:r>
              <w:rPr>
                <w:rFonts w:hint="eastAsia"/>
                <w:color w:val="auto"/>
                <w:lang w:val="en-US" w:eastAsia="zh-CN"/>
              </w:rPr>
              <w:t>验布</w:t>
            </w:r>
            <w:r>
              <w:rPr>
                <w:rFonts w:hint="eastAsia"/>
                <w:color w:val="auto"/>
              </w:rPr>
              <w:t>工序会产生少量不合格品废布，废布产生量约为POY丝原料的1</w:t>
            </w:r>
            <w:r>
              <w:rPr>
                <w:color w:val="auto"/>
              </w:rPr>
              <w:t>‰</w:t>
            </w:r>
            <w:r>
              <w:rPr>
                <w:rFonts w:hint="eastAsia"/>
                <w:color w:val="auto"/>
              </w:rPr>
              <w:t>。本项目POY丝使用量为20000t/a，则废布产生量为20t/a。废布收集后暂存一般固废库，定期外售综合利用。</w:t>
            </w:r>
          </w:p>
          <w:p w14:paraId="59AE3FA9">
            <w:pPr>
              <w:pStyle w:val="47"/>
              <w:ind w:firstLine="482"/>
              <w:rPr>
                <w:b/>
                <w:bCs/>
                <w:color w:val="auto"/>
              </w:rPr>
            </w:pPr>
            <w:r>
              <w:rPr>
                <w:b/>
                <w:bCs/>
                <w:color w:val="auto"/>
              </w:rPr>
              <w:t>④</w:t>
            </w:r>
            <w:r>
              <w:rPr>
                <w:rFonts w:hint="eastAsia"/>
                <w:b/>
                <w:bCs/>
                <w:color w:val="auto"/>
              </w:rPr>
              <w:t>废过滤介质</w:t>
            </w:r>
          </w:p>
          <w:p w14:paraId="492B3EB0">
            <w:pPr>
              <w:pStyle w:val="47"/>
              <w:ind w:firstLine="480"/>
              <w:rPr>
                <w:color w:val="auto"/>
              </w:rPr>
            </w:pPr>
            <w:r>
              <w:rPr>
                <w:rFonts w:hint="eastAsia"/>
                <w:color w:val="auto"/>
              </w:rPr>
              <w:t>本项目污水处理站使用石英砂、活性炭作为过滤介质对喷水织造废水进行深度过滤处理。为保证回用水水质，石英砂、活性炭每年更换一次。根据《炭砂滤池设计标准》T/CUWA 20055-2022，本项目石英砂使用量约为18t/a，活性炭使用量为5t/a，则废过滤介质产生量为23t/a。废过滤介质收集后暂存一般固废库，定期外售综合利用。</w:t>
            </w:r>
          </w:p>
          <w:p w14:paraId="22240451">
            <w:pPr>
              <w:pStyle w:val="47"/>
              <w:ind w:firstLine="482"/>
              <w:rPr>
                <w:b/>
                <w:bCs/>
                <w:color w:val="auto"/>
              </w:rPr>
            </w:pPr>
            <w:r>
              <w:rPr>
                <w:b/>
                <w:bCs/>
                <w:color w:val="auto"/>
              </w:rPr>
              <w:t>⑤</w:t>
            </w:r>
            <w:r>
              <w:rPr>
                <w:rFonts w:hint="eastAsia"/>
                <w:b/>
                <w:bCs/>
                <w:color w:val="auto"/>
              </w:rPr>
              <w:t>生化污泥</w:t>
            </w:r>
          </w:p>
          <w:p w14:paraId="02901FF2">
            <w:pPr>
              <w:pStyle w:val="47"/>
              <w:ind w:firstLine="480"/>
              <w:rPr>
                <w:color w:val="auto"/>
              </w:rPr>
            </w:pPr>
            <w:r>
              <w:rPr>
                <w:rFonts w:hint="eastAsia"/>
                <w:color w:val="auto"/>
              </w:rPr>
              <w:t>本项目污水处理站生化和沉淀工序会产生生化污泥，污泥量与废水悬浮固体和处理工艺有关。根据《排污许可证申请与核发技术规范 水处理（试行）》（HJ978-2018），污泥计算公式如下：</w:t>
            </w:r>
          </w:p>
          <w:p w14:paraId="2D55D301">
            <w:pPr>
              <w:pStyle w:val="47"/>
              <w:ind w:firstLine="0" w:firstLineChars="0"/>
              <w:jc w:val="center"/>
              <w:rPr>
                <w:color w:val="auto"/>
                <w:position w:val="-10"/>
              </w:rPr>
            </w:pPr>
            <w:r>
              <w:rPr>
                <w:color w:val="auto"/>
                <w:position w:val="-14"/>
              </w:rPr>
              <w:object>
                <v:shape id="_x0000_i1032" o:spt="75" type="#_x0000_t75" style="height:22.2pt;width:127.55pt;" o:ole="t" filled="f" o:preferrelative="t" stroked="f" coordsize="21600,21600">
                  <v:path/>
                  <v:fill on="f" focussize="0,0"/>
                  <v:stroke on="f"/>
                  <v:imagedata r:id="rId30" o:title=""/>
                  <o:lock v:ext="edit" aspectratio="t"/>
                  <w10:wrap type="none"/>
                  <w10:anchorlock/>
                </v:shape>
                <o:OLEObject Type="Embed" ProgID="Equation.3" ShapeID="_x0000_i1032" DrawAspect="Content" ObjectID="_1468075732" r:id="rId29">
                  <o:LockedField>false</o:LockedField>
                </o:OLEObject>
              </w:object>
            </w:r>
          </w:p>
          <w:p w14:paraId="2D82F724">
            <w:pPr>
              <w:pStyle w:val="47"/>
              <w:ind w:firstLine="480"/>
              <w:rPr>
                <w:color w:val="auto"/>
              </w:rPr>
            </w:pPr>
            <w:r>
              <w:rPr>
                <w:color w:val="auto"/>
              </w:rPr>
              <w:t>式中：E</w:t>
            </w:r>
            <w:r>
              <w:rPr>
                <w:color w:val="auto"/>
                <w:vertAlign w:val="subscript"/>
              </w:rPr>
              <w:t>产生量</w:t>
            </w:r>
            <w:r>
              <w:rPr>
                <w:color w:val="auto"/>
              </w:rPr>
              <w:t>——污水处理过程中产生的污泥量，以干泥计，t；</w:t>
            </w:r>
          </w:p>
          <w:p w14:paraId="17E8EF53">
            <w:pPr>
              <w:pStyle w:val="47"/>
              <w:ind w:left="1155" w:leftChars="550" w:firstLine="0" w:firstLineChars="0"/>
              <w:rPr>
                <w:color w:val="auto"/>
              </w:rPr>
            </w:pPr>
            <w:r>
              <w:rPr>
                <w:color w:val="auto"/>
              </w:rPr>
              <w:t>Q——核算时段内排污单位废水排放量，m</w:t>
            </w:r>
            <w:r>
              <w:rPr>
                <w:color w:val="auto"/>
                <w:vertAlign w:val="superscript"/>
              </w:rPr>
              <w:t>3</w:t>
            </w:r>
            <w:r>
              <w:rPr>
                <w:color w:val="auto"/>
              </w:rPr>
              <w:t>，具有有效出水口实测值按实测值计，无有效出水口实测值按进水口实测值计，无有效进水口实测值按协议进水水量计；本项目喷水织造废水量为972000m</w:t>
            </w:r>
            <w:r>
              <w:rPr>
                <w:color w:val="auto"/>
                <w:vertAlign w:val="superscript"/>
              </w:rPr>
              <w:t>3</w:t>
            </w:r>
            <w:r>
              <w:rPr>
                <w:color w:val="auto"/>
              </w:rPr>
              <w:t>/a；</w:t>
            </w:r>
          </w:p>
          <w:p w14:paraId="4233AB72">
            <w:pPr>
              <w:pStyle w:val="47"/>
              <w:ind w:left="1155" w:leftChars="550" w:firstLine="0" w:firstLineChars="0"/>
              <w:rPr>
                <w:color w:val="auto"/>
              </w:rPr>
            </w:pPr>
            <w:r>
              <w:rPr>
                <w:color w:val="auto"/>
              </w:rPr>
              <w:t>W</w:t>
            </w:r>
            <w:r>
              <w:rPr>
                <w:color w:val="auto"/>
                <w:vertAlign w:val="subscript"/>
              </w:rPr>
              <w:t>深</w:t>
            </w:r>
            <w:r>
              <w:rPr>
                <w:color w:val="auto"/>
              </w:rPr>
              <w:t>——有深度处理工艺（添加化学药剂）时按2计，无深度处理工艺时按1计，本项目W深取2计。</w:t>
            </w:r>
          </w:p>
          <w:p w14:paraId="0130B492">
            <w:pPr>
              <w:pStyle w:val="47"/>
              <w:ind w:firstLine="480"/>
              <w:rPr>
                <w:color w:val="auto"/>
              </w:rPr>
            </w:pPr>
            <w:r>
              <w:rPr>
                <w:color w:val="auto"/>
              </w:rPr>
              <w:t>经计算，本项目污水处理站污泥产生量约为330.48t/a</w:t>
            </w:r>
            <w:r>
              <w:rPr>
                <w:rFonts w:hint="eastAsia"/>
                <w:color w:val="auto"/>
              </w:rPr>
              <w:t>（</w:t>
            </w:r>
            <w:r>
              <w:rPr>
                <w:color w:val="auto"/>
              </w:rPr>
              <w:t>以干泥计</w:t>
            </w:r>
            <w:r>
              <w:rPr>
                <w:rFonts w:hint="eastAsia"/>
                <w:color w:val="auto"/>
              </w:rPr>
              <w:t>）</w:t>
            </w:r>
            <w:r>
              <w:rPr>
                <w:color w:val="auto"/>
              </w:rPr>
              <w:t>，污泥采用板框压滤机压滤，故最终污泥量约为</w:t>
            </w:r>
            <w:r>
              <w:rPr>
                <w:rFonts w:hint="eastAsia"/>
                <w:color w:val="auto"/>
              </w:rPr>
              <w:t>472.11</w:t>
            </w:r>
            <w:r>
              <w:rPr>
                <w:color w:val="auto"/>
              </w:rPr>
              <w:t>t/a</w:t>
            </w:r>
            <w:r>
              <w:rPr>
                <w:rFonts w:hint="eastAsia"/>
                <w:color w:val="auto"/>
              </w:rPr>
              <w:t>（3</w:t>
            </w:r>
            <w:r>
              <w:rPr>
                <w:color w:val="auto"/>
              </w:rPr>
              <w:t>0%含水率</w:t>
            </w:r>
            <w:r>
              <w:rPr>
                <w:rFonts w:hint="eastAsia"/>
                <w:color w:val="auto"/>
              </w:rPr>
              <w:t>）</w:t>
            </w:r>
            <w:r>
              <w:rPr>
                <w:color w:val="auto"/>
              </w:rPr>
              <w:t>。</w:t>
            </w:r>
            <w:r>
              <w:rPr>
                <w:rFonts w:hint="eastAsia"/>
                <w:color w:val="auto"/>
                <w:lang w:val="en-US" w:eastAsia="zh-CN"/>
              </w:rPr>
              <w:t>本项目</w:t>
            </w:r>
            <w:r>
              <w:rPr>
                <w:rFonts w:hint="eastAsia"/>
                <w:color w:val="auto"/>
              </w:rPr>
              <w:t>生化污泥收集后暂存危废库，处置前需经过鉴定，如具有危险特性，则委托有资质单位处理；如不具有危险特性，则外售综合利用。</w:t>
            </w:r>
          </w:p>
          <w:p w14:paraId="26828EA2">
            <w:pPr>
              <w:pStyle w:val="47"/>
              <w:ind w:firstLine="482"/>
              <w:rPr>
                <w:b/>
                <w:bCs/>
                <w:color w:val="auto"/>
              </w:rPr>
            </w:pPr>
            <w:r>
              <w:rPr>
                <w:b/>
                <w:bCs/>
                <w:color w:val="auto"/>
              </w:rPr>
              <w:t>⑥</w:t>
            </w:r>
            <w:r>
              <w:rPr>
                <w:rFonts w:hint="eastAsia"/>
                <w:b/>
                <w:bCs/>
                <w:color w:val="auto"/>
              </w:rPr>
              <w:t>物化污泥</w:t>
            </w:r>
          </w:p>
          <w:p w14:paraId="33C3B73B">
            <w:pPr>
              <w:pStyle w:val="47"/>
              <w:ind w:firstLine="480"/>
              <w:rPr>
                <w:color w:val="auto"/>
              </w:rPr>
            </w:pPr>
            <w:r>
              <w:rPr>
                <w:color w:val="auto"/>
              </w:rPr>
              <w:t>本项目污水处理站混凝气浮装置会产生物化污泥，主要为浮油、浮渣、油泥</w:t>
            </w:r>
            <w:r>
              <w:rPr>
                <w:rFonts w:hint="eastAsia"/>
                <w:color w:val="auto"/>
              </w:rPr>
              <w:t>。处理每千吨废水需要投加PAC20kg、PMC0.4kg</w:t>
            </w:r>
            <w:r>
              <w:rPr>
                <w:rFonts w:hint="eastAsia"/>
                <w:color w:val="auto"/>
                <w:lang w:eastAsia="zh-CN"/>
              </w:rPr>
              <w:t>、</w:t>
            </w:r>
            <w:r>
              <w:rPr>
                <w:rFonts w:hint="eastAsia"/>
                <w:color w:val="auto"/>
                <w:lang w:val="en-US" w:eastAsia="zh-CN"/>
              </w:rPr>
              <w:t>PFS10kg</w:t>
            </w:r>
            <w:r>
              <w:rPr>
                <w:rFonts w:hint="eastAsia"/>
                <w:color w:val="auto"/>
              </w:rPr>
              <w:t>，本项目喷水织造废水产生量为972000t/a，则</w:t>
            </w:r>
            <w:r>
              <w:rPr>
                <w:color w:val="auto"/>
              </w:rPr>
              <w:t>本项目PAC投加量约为</w:t>
            </w:r>
            <w:r>
              <w:rPr>
                <w:rFonts w:hint="eastAsia"/>
                <w:color w:val="auto"/>
              </w:rPr>
              <w:t>20</w:t>
            </w:r>
            <w:r>
              <w:rPr>
                <w:color w:val="auto"/>
              </w:rPr>
              <w:t>t/a</w:t>
            </w:r>
            <w:r>
              <w:rPr>
                <w:rFonts w:hint="eastAsia"/>
                <w:color w:val="auto"/>
              </w:rPr>
              <w:t>、PMC投加量</w:t>
            </w:r>
            <w:r>
              <w:rPr>
                <w:color w:val="auto"/>
              </w:rPr>
              <w:t>约</w:t>
            </w:r>
            <w:r>
              <w:rPr>
                <w:rFonts w:hint="eastAsia"/>
                <w:color w:val="auto"/>
              </w:rPr>
              <w:t>为</w:t>
            </w:r>
            <w:r>
              <w:rPr>
                <w:rFonts w:hint="eastAsia"/>
                <w:color w:val="auto"/>
                <w:lang w:val="en-US" w:eastAsia="zh-CN"/>
              </w:rPr>
              <w:t>0.4</w:t>
            </w:r>
            <w:r>
              <w:rPr>
                <w:rFonts w:hint="eastAsia"/>
                <w:color w:val="auto"/>
              </w:rPr>
              <w:t>t/a</w:t>
            </w:r>
            <w:r>
              <w:rPr>
                <w:rFonts w:hint="eastAsia"/>
                <w:color w:val="auto"/>
                <w:lang w:eastAsia="zh-CN"/>
              </w:rPr>
              <w:t>、</w:t>
            </w:r>
            <w:r>
              <w:rPr>
                <w:rFonts w:hint="eastAsia"/>
                <w:color w:val="auto"/>
                <w:lang w:val="en-US" w:eastAsia="zh-CN"/>
              </w:rPr>
              <w:t>PFS</w:t>
            </w:r>
            <w:r>
              <w:rPr>
                <w:rFonts w:hint="eastAsia"/>
                <w:color w:val="auto"/>
              </w:rPr>
              <w:t>投加量为</w:t>
            </w:r>
            <w:r>
              <w:rPr>
                <w:color w:val="auto"/>
              </w:rPr>
              <w:t>约</w:t>
            </w:r>
            <w:r>
              <w:rPr>
                <w:rFonts w:hint="eastAsia"/>
                <w:color w:val="auto"/>
                <w:lang w:val="en-US" w:eastAsia="zh-CN"/>
              </w:rPr>
              <w:t>10t/a</w:t>
            </w:r>
            <w:r>
              <w:rPr>
                <w:rFonts w:hint="eastAsia"/>
                <w:color w:val="auto"/>
              </w:rPr>
              <w:t>，</w:t>
            </w:r>
            <w:r>
              <w:rPr>
                <w:color w:val="auto"/>
              </w:rPr>
              <w:t>故最终物化污泥量约为</w:t>
            </w:r>
            <w:r>
              <w:rPr>
                <w:rFonts w:hint="eastAsia"/>
                <w:color w:val="auto"/>
                <w:lang w:val="en-US" w:eastAsia="zh-CN"/>
              </w:rPr>
              <w:t>45.60</w:t>
            </w:r>
            <w:r>
              <w:rPr>
                <w:color w:val="auto"/>
              </w:rPr>
              <w:t>t/a</w:t>
            </w:r>
            <w:r>
              <w:rPr>
                <w:rFonts w:hint="eastAsia"/>
                <w:color w:val="auto"/>
              </w:rPr>
              <w:t>（60</w:t>
            </w:r>
            <w:r>
              <w:rPr>
                <w:color w:val="auto"/>
              </w:rPr>
              <w:t>%含水率</w:t>
            </w:r>
            <w:r>
              <w:rPr>
                <w:rFonts w:hint="eastAsia"/>
                <w:color w:val="auto"/>
              </w:rPr>
              <w:t>）</w:t>
            </w:r>
            <w:r>
              <w:rPr>
                <w:color w:val="auto"/>
              </w:rPr>
              <w:t>。</w:t>
            </w:r>
            <w:r>
              <w:rPr>
                <w:rFonts w:hint="eastAsia"/>
                <w:color w:val="auto"/>
              </w:rPr>
              <w:t>对照</w:t>
            </w:r>
            <w:r>
              <w:rPr>
                <w:color w:val="auto"/>
                <w:szCs w:val="24"/>
              </w:rPr>
              <w:t>《国家危险废物名录</w:t>
            </w:r>
            <w:r>
              <w:rPr>
                <w:rFonts w:hint="eastAsia"/>
                <w:color w:val="auto"/>
                <w:szCs w:val="24"/>
              </w:rPr>
              <w:t>（</w:t>
            </w:r>
            <w:r>
              <w:rPr>
                <w:rFonts w:hint="eastAsia"/>
                <w:color w:val="auto"/>
                <w:szCs w:val="24"/>
                <w:lang w:val="en-US" w:eastAsia="zh-CN"/>
              </w:rPr>
              <w:t>2025</w:t>
            </w:r>
            <w:r>
              <w:rPr>
                <w:color w:val="auto"/>
                <w:szCs w:val="24"/>
              </w:rPr>
              <w:t>年版</w:t>
            </w:r>
            <w:r>
              <w:rPr>
                <w:rFonts w:hint="eastAsia"/>
                <w:color w:val="auto"/>
                <w:szCs w:val="24"/>
              </w:rPr>
              <w:t>）</w:t>
            </w:r>
            <w:r>
              <w:rPr>
                <w:color w:val="auto"/>
                <w:szCs w:val="24"/>
              </w:rPr>
              <w:t>》</w:t>
            </w:r>
            <w:r>
              <w:rPr>
                <w:rFonts w:hint="eastAsia"/>
                <w:color w:val="auto"/>
                <w:szCs w:val="24"/>
              </w:rPr>
              <w:t>，</w:t>
            </w:r>
            <w:r>
              <w:rPr>
                <w:color w:val="auto"/>
              </w:rPr>
              <w:t>物化污泥属于危险废物（HW49，</w:t>
            </w:r>
            <w:r>
              <w:rPr>
                <w:rFonts w:hint="eastAsia"/>
                <w:color w:val="auto"/>
              </w:rPr>
              <w:t>772-006-49</w:t>
            </w:r>
            <w:r>
              <w:rPr>
                <w:color w:val="auto"/>
              </w:rPr>
              <w:t>），收集后暂存危废库，定期委托有资质单位处理。</w:t>
            </w:r>
          </w:p>
          <w:p w14:paraId="44143F17">
            <w:pPr>
              <w:pStyle w:val="47"/>
              <w:ind w:firstLine="482"/>
              <w:rPr>
                <w:b/>
                <w:bCs/>
                <w:color w:val="auto"/>
              </w:rPr>
            </w:pPr>
            <w:r>
              <w:rPr>
                <w:b/>
                <w:bCs/>
                <w:color w:val="auto"/>
              </w:rPr>
              <w:t>⑦</w:t>
            </w:r>
            <w:r>
              <w:rPr>
                <w:b/>
                <w:bCs/>
                <w:color w:val="auto"/>
                <w:szCs w:val="24"/>
              </w:rPr>
              <w:t>废</w:t>
            </w:r>
            <w:r>
              <w:rPr>
                <w:rFonts w:hint="eastAsia"/>
                <w:b/>
                <w:bCs/>
                <w:color w:val="auto"/>
                <w:szCs w:val="24"/>
              </w:rPr>
              <w:t>加弹</w:t>
            </w:r>
            <w:r>
              <w:rPr>
                <w:b/>
                <w:bCs/>
                <w:color w:val="auto"/>
                <w:szCs w:val="24"/>
              </w:rPr>
              <w:t>油</w:t>
            </w:r>
          </w:p>
          <w:p w14:paraId="445E6F45">
            <w:pPr>
              <w:pStyle w:val="47"/>
              <w:ind w:firstLine="480"/>
              <w:rPr>
                <w:color w:val="auto"/>
              </w:rPr>
            </w:pPr>
            <w:r>
              <w:rPr>
                <w:rFonts w:hint="eastAsia"/>
                <w:color w:val="auto"/>
              </w:rPr>
              <w:t>本项目采用高压静电油烟净化器处理加弹废气，该过程会产生废加弹油。根据废气源强计算，废加弹油产生量约为6.9</w:t>
            </w:r>
            <w:r>
              <w:rPr>
                <w:rFonts w:hint="eastAsia"/>
                <w:color w:val="auto"/>
                <w:lang w:val="en-US" w:eastAsia="zh-CN"/>
              </w:rPr>
              <w:t>8</w:t>
            </w:r>
            <w:r>
              <w:rPr>
                <w:rFonts w:hint="eastAsia"/>
                <w:color w:val="auto"/>
              </w:rPr>
              <w:t>t/a。废加弹油</w:t>
            </w:r>
            <w:r>
              <w:rPr>
                <w:color w:val="auto"/>
              </w:rPr>
              <w:t>属于危险废物（HW49，</w:t>
            </w:r>
            <w:r>
              <w:rPr>
                <w:rFonts w:hint="eastAsia"/>
                <w:color w:val="auto"/>
              </w:rPr>
              <w:t>772-006-49</w:t>
            </w:r>
            <w:r>
              <w:rPr>
                <w:color w:val="auto"/>
              </w:rPr>
              <w:t>），收集后暂存危废仓库，定期委托有资质单位处理。</w:t>
            </w:r>
          </w:p>
          <w:p w14:paraId="55E5941C">
            <w:pPr>
              <w:pStyle w:val="47"/>
              <w:ind w:firstLine="482"/>
              <w:rPr>
                <w:b/>
                <w:bCs/>
                <w:color w:val="auto"/>
              </w:rPr>
            </w:pPr>
            <w:r>
              <w:rPr>
                <w:b/>
                <w:bCs/>
                <w:color w:val="auto"/>
                <w:szCs w:val="24"/>
              </w:rPr>
              <w:t>⑧</w:t>
            </w:r>
            <w:r>
              <w:rPr>
                <w:b/>
                <w:bCs/>
                <w:color w:val="auto"/>
              </w:rPr>
              <w:t>废机油</w:t>
            </w:r>
          </w:p>
          <w:p w14:paraId="46CDA366">
            <w:pPr>
              <w:pStyle w:val="47"/>
              <w:ind w:firstLine="480"/>
              <w:rPr>
                <w:color w:val="auto"/>
              </w:rPr>
            </w:pPr>
            <w:r>
              <w:rPr>
                <w:rFonts w:hint="eastAsia"/>
                <w:color w:val="auto"/>
                <w:szCs w:val="24"/>
              </w:rPr>
              <w:t>本项目设备维护保养过程使用机油，该过程会产生废机油。本项目机油使用量为4t/a，废机油产生率为60%，则废机油产生量为2.4t/a。</w:t>
            </w:r>
            <w:r>
              <w:rPr>
                <w:rFonts w:hint="eastAsia"/>
                <w:color w:val="auto"/>
                <w:lang w:val="en-US" w:eastAsia="zh-CN"/>
              </w:rPr>
              <w:t>废机油</w:t>
            </w:r>
            <w:r>
              <w:rPr>
                <w:color w:val="auto"/>
              </w:rPr>
              <w:t>属于危险废物（HW</w:t>
            </w:r>
            <w:r>
              <w:rPr>
                <w:rFonts w:hint="eastAsia"/>
                <w:color w:val="auto"/>
              </w:rPr>
              <w:t>08</w:t>
            </w:r>
            <w:r>
              <w:rPr>
                <w:color w:val="auto"/>
              </w:rPr>
              <w:t>，</w:t>
            </w:r>
            <w:r>
              <w:rPr>
                <w:rFonts w:hint="eastAsia"/>
                <w:color w:val="auto"/>
              </w:rPr>
              <w:t>900-214-08</w:t>
            </w:r>
            <w:r>
              <w:rPr>
                <w:color w:val="auto"/>
              </w:rPr>
              <w:t>），收集后暂存危废仓库，定期委托有资质单位处理。</w:t>
            </w:r>
          </w:p>
          <w:p w14:paraId="7576ADE5">
            <w:pPr>
              <w:pStyle w:val="47"/>
              <w:ind w:firstLine="482"/>
              <w:rPr>
                <w:b/>
                <w:bCs/>
                <w:color w:val="auto"/>
                <w:szCs w:val="24"/>
              </w:rPr>
            </w:pPr>
            <w:r>
              <w:rPr>
                <w:b/>
                <w:bCs/>
                <w:color w:val="auto"/>
                <w:kern w:val="0"/>
                <w:szCs w:val="24"/>
                <w:lang w:bidi="ar"/>
              </w:rPr>
              <w:t>⑨</w:t>
            </w:r>
            <w:r>
              <w:rPr>
                <w:b/>
                <w:bCs/>
                <w:color w:val="auto"/>
                <w:szCs w:val="24"/>
              </w:rPr>
              <w:t>废包装</w:t>
            </w:r>
            <w:r>
              <w:rPr>
                <w:rFonts w:hint="eastAsia"/>
                <w:b/>
                <w:bCs/>
                <w:color w:val="auto"/>
                <w:szCs w:val="24"/>
              </w:rPr>
              <w:t>材料</w:t>
            </w:r>
          </w:p>
          <w:p w14:paraId="16D4FC3B">
            <w:pPr>
              <w:pStyle w:val="47"/>
              <w:ind w:firstLine="480"/>
              <w:rPr>
                <w:color w:val="auto"/>
              </w:rPr>
            </w:pPr>
            <w:r>
              <w:rPr>
                <w:rFonts w:hint="eastAsia"/>
                <w:color w:val="auto"/>
                <w:szCs w:val="24"/>
              </w:rPr>
              <w:t>本项目POY丝、PAC、PAM</w:t>
            </w:r>
            <w:r>
              <w:rPr>
                <w:rFonts w:hint="eastAsia"/>
                <w:color w:val="auto"/>
                <w:szCs w:val="24"/>
                <w:lang w:eastAsia="zh-CN"/>
              </w:rPr>
              <w:t>、</w:t>
            </w:r>
            <w:r>
              <w:rPr>
                <w:rFonts w:hint="eastAsia"/>
                <w:color w:val="auto"/>
                <w:szCs w:val="24"/>
                <w:lang w:val="en-US" w:eastAsia="zh-CN"/>
              </w:rPr>
              <w:t>PFS</w:t>
            </w:r>
            <w:r>
              <w:rPr>
                <w:rFonts w:hint="eastAsia"/>
                <w:color w:val="auto"/>
                <w:szCs w:val="24"/>
              </w:rPr>
              <w:t>原辅料使用塑料包装袋或纸箱包装，使用时会产生废包装材料。</w:t>
            </w:r>
            <w:r>
              <w:rPr>
                <w:rFonts w:hint="eastAsia"/>
                <w:color w:val="auto"/>
              </w:rPr>
              <w:t>参考《郎溪忠俊喷织有限公司涤纶化纤布生产项目阶段性竣工环境保护验收监测报告》，则本项目废包装材料</w:t>
            </w:r>
            <w:r>
              <w:rPr>
                <w:rFonts w:hint="eastAsia"/>
                <w:color w:val="auto"/>
                <w:szCs w:val="24"/>
              </w:rPr>
              <w:t>产生量约为</w:t>
            </w:r>
            <w:r>
              <w:rPr>
                <w:rFonts w:hint="eastAsia"/>
                <w:color w:val="auto"/>
                <w:szCs w:val="24"/>
                <w:lang w:val="en-US" w:eastAsia="zh-CN"/>
              </w:rPr>
              <w:t>6</w:t>
            </w:r>
            <w:r>
              <w:rPr>
                <w:rFonts w:hint="eastAsia"/>
                <w:color w:val="auto"/>
                <w:szCs w:val="24"/>
              </w:rPr>
              <w:t>t/a。废包装材料收集后暂存一般固废库，</w:t>
            </w:r>
            <w:r>
              <w:rPr>
                <w:rFonts w:hint="eastAsia"/>
                <w:color w:val="auto"/>
              </w:rPr>
              <w:t>定期外售综合利用。</w:t>
            </w:r>
          </w:p>
          <w:p w14:paraId="56089A7C">
            <w:pPr>
              <w:pStyle w:val="47"/>
              <w:ind w:firstLine="482"/>
              <w:rPr>
                <w:b/>
                <w:bCs/>
                <w:color w:val="auto"/>
                <w:kern w:val="0"/>
                <w:szCs w:val="24"/>
                <w:lang w:bidi="ar"/>
              </w:rPr>
            </w:pPr>
            <w:r>
              <w:rPr>
                <w:b/>
                <w:bCs/>
                <w:color w:val="auto"/>
                <w:kern w:val="0"/>
                <w:szCs w:val="24"/>
                <w:lang w:val="zh-CN" w:bidi="ar"/>
              </w:rPr>
              <w:t>⑩</w:t>
            </w:r>
            <w:r>
              <w:rPr>
                <w:rFonts w:hint="eastAsia"/>
                <w:b/>
                <w:bCs/>
                <w:color w:val="auto"/>
                <w:kern w:val="0"/>
                <w:szCs w:val="24"/>
                <w:lang w:bidi="ar"/>
              </w:rPr>
              <w:t>废机油桶</w:t>
            </w:r>
          </w:p>
          <w:p w14:paraId="73BD052A">
            <w:pPr>
              <w:pStyle w:val="47"/>
              <w:ind w:firstLine="480"/>
              <w:rPr>
                <w:color w:val="auto"/>
              </w:rPr>
            </w:pPr>
            <w:r>
              <w:rPr>
                <w:rFonts w:hint="eastAsia"/>
                <w:color w:val="auto"/>
                <w:szCs w:val="24"/>
              </w:rPr>
              <w:t>本项目设备维护保养过程使用机油会产生废包装桶。本项目机油使用量为4t/a，每桶机油重50kg，则共产生80个包装桶，约重0.08t/a。废</w:t>
            </w:r>
            <w:r>
              <w:rPr>
                <w:rFonts w:hint="eastAsia"/>
                <w:color w:val="auto"/>
                <w:szCs w:val="24"/>
                <w:lang w:val="en-US" w:eastAsia="zh-CN"/>
              </w:rPr>
              <w:t>机油</w:t>
            </w:r>
            <w:r>
              <w:rPr>
                <w:rFonts w:hint="eastAsia"/>
                <w:color w:val="auto"/>
                <w:szCs w:val="24"/>
              </w:rPr>
              <w:t>桶</w:t>
            </w:r>
            <w:r>
              <w:rPr>
                <w:color w:val="auto"/>
              </w:rPr>
              <w:t>属于危险废物（HW</w:t>
            </w:r>
            <w:r>
              <w:rPr>
                <w:rFonts w:hint="eastAsia"/>
                <w:color w:val="auto"/>
              </w:rPr>
              <w:t>08</w:t>
            </w:r>
            <w:r>
              <w:rPr>
                <w:color w:val="auto"/>
              </w:rPr>
              <w:t>，</w:t>
            </w:r>
            <w:r>
              <w:rPr>
                <w:rFonts w:hint="eastAsia"/>
                <w:color w:val="auto"/>
              </w:rPr>
              <w:t>900-249-08</w:t>
            </w:r>
            <w:r>
              <w:rPr>
                <w:color w:val="auto"/>
              </w:rPr>
              <w:t>），收集后暂存危废仓库，定期委托有资质单位处理。</w:t>
            </w:r>
          </w:p>
          <w:p w14:paraId="194F384D">
            <w:pPr>
              <w:pStyle w:val="47"/>
              <w:ind w:firstLine="480"/>
              <w:rPr>
                <w:b/>
                <w:bCs/>
                <w:color w:val="auto"/>
              </w:rPr>
            </w:pPr>
            <w:r>
              <w:rPr>
                <w:rFonts w:hint="eastAsia" w:ascii="微软雅黑" w:hAnsi="微软雅黑" w:eastAsia="微软雅黑" w:cs="微软雅黑"/>
                <w:b/>
                <w:bCs/>
                <w:color w:val="auto"/>
              </w:rPr>
              <w:t>⑪</w:t>
            </w:r>
            <w:r>
              <w:rPr>
                <w:b/>
                <w:bCs/>
                <w:color w:val="auto"/>
              </w:rPr>
              <w:t>职工生活垃圾</w:t>
            </w:r>
          </w:p>
          <w:p w14:paraId="2163669F">
            <w:pPr>
              <w:pStyle w:val="47"/>
              <w:ind w:firstLine="480"/>
              <w:rPr>
                <w:color w:val="auto"/>
              </w:rPr>
            </w:pPr>
            <w:r>
              <w:rPr>
                <w:color w:val="auto"/>
              </w:rPr>
              <w:t>本项目劳动定员20</w:t>
            </w:r>
            <w:r>
              <w:rPr>
                <w:rFonts w:hint="eastAsia"/>
                <w:color w:val="auto"/>
              </w:rPr>
              <w:t>0</w:t>
            </w:r>
            <w:r>
              <w:rPr>
                <w:color w:val="auto"/>
              </w:rPr>
              <w:t>人，生活垃圾产生量按每人每天产生0.5kg计，则生活垃圾产生量约为3</w:t>
            </w:r>
            <w:r>
              <w:rPr>
                <w:rFonts w:hint="eastAsia"/>
                <w:color w:val="auto"/>
              </w:rPr>
              <w:t>0</w:t>
            </w:r>
            <w:r>
              <w:rPr>
                <w:color w:val="auto"/>
              </w:rPr>
              <w:t>t/a。项目厂区内设置垃圾桶收集生活垃圾，由环卫部门定期清运处理。</w:t>
            </w:r>
          </w:p>
          <w:p w14:paraId="4FA42C1F">
            <w:pPr>
              <w:pStyle w:val="47"/>
              <w:ind w:firstLine="480"/>
              <w:rPr>
                <w:color w:val="auto"/>
              </w:rPr>
            </w:pPr>
            <w:r>
              <w:rPr>
                <w:color w:val="auto"/>
              </w:rPr>
              <w:t>根据《中华人民共和国固体废物污染环境防治法》《固体废物鉴别标准通则》（GB34330-2017），对建设项目产生的固废，依据产生来源、利用和处置过程鉴别是否属于固体废物。副产物属性判断见</w:t>
            </w:r>
            <w:r>
              <w:rPr>
                <w:rFonts w:hint="default"/>
                <w:color w:val="auto"/>
                <w:lang w:val="en-US"/>
              </w:rPr>
              <w:fldChar w:fldCharType="begin"/>
            </w:r>
            <w:r>
              <w:rPr>
                <w:rFonts w:hint="default"/>
                <w:color w:val="auto"/>
                <w:lang w:val="en-US"/>
              </w:rPr>
              <w:instrText xml:space="preserve"> REF _Ref15565 \h </w:instrText>
            </w:r>
            <w:r>
              <w:rPr>
                <w:rFonts w:hint="default"/>
                <w:color w:val="auto"/>
                <w:lang w:val="en-US"/>
              </w:rPr>
              <w:fldChar w:fldCharType="separate"/>
            </w:r>
            <w:r>
              <w:rPr>
                <w:color w:val="auto"/>
              </w:rPr>
              <w:t>表4- 19</w:t>
            </w:r>
            <w:r>
              <w:rPr>
                <w:rFonts w:hint="default"/>
                <w:color w:val="auto"/>
                <w:lang w:val="en-US"/>
              </w:rPr>
              <w:fldChar w:fldCharType="end"/>
            </w:r>
            <w:r>
              <w:rPr>
                <w:color w:val="auto"/>
              </w:rPr>
              <w:t>。</w:t>
            </w:r>
          </w:p>
          <w:p w14:paraId="6AC6D924">
            <w:pPr>
              <w:pStyle w:val="7"/>
              <w:rPr>
                <w:color w:val="auto"/>
              </w:rPr>
            </w:pPr>
            <w:bookmarkStart w:id="77" w:name="_Ref6219"/>
          </w:p>
          <w:p w14:paraId="7167EBCD">
            <w:pPr>
              <w:pStyle w:val="7"/>
              <w:rPr>
                <w:color w:val="auto"/>
              </w:rPr>
            </w:pPr>
            <w:bookmarkStart w:id="78" w:name="_Ref15565"/>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19</w:t>
            </w:r>
            <w:r>
              <w:rPr>
                <w:color w:val="auto"/>
              </w:rPr>
              <w:fldChar w:fldCharType="end"/>
            </w:r>
            <w:bookmarkEnd w:id="77"/>
            <w:bookmarkEnd w:id="78"/>
            <w:r>
              <w:rPr>
                <w:color w:val="auto"/>
              </w:rPr>
              <w:t xml:space="preserve"> 项目建成后副产物属性（固体废物属性）判定表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450"/>
              <w:gridCol w:w="1658"/>
              <w:gridCol w:w="1606"/>
              <w:gridCol w:w="915"/>
              <w:gridCol w:w="1305"/>
              <w:gridCol w:w="804"/>
              <w:gridCol w:w="641"/>
              <w:gridCol w:w="1029"/>
            </w:tblGrid>
            <w:tr w14:paraId="6E4E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267" w:type="pct"/>
                  <w:vMerge w:val="restart"/>
                  <w:tcBorders>
                    <w:tl2br w:val="nil"/>
                    <w:tr2bl w:val="nil"/>
                  </w:tcBorders>
                  <w:vAlign w:val="center"/>
                </w:tcPr>
                <w:p w14:paraId="070C7DDF">
                  <w:pPr>
                    <w:pStyle w:val="49"/>
                    <w:rPr>
                      <w:color w:val="auto"/>
                    </w:rPr>
                  </w:pPr>
                  <w:r>
                    <w:rPr>
                      <w:color w:val="auto"/>
                    </w:rPr>
                    <w:t>序号</w:t>
                  </w:r>
                </w:p>
              </w:tc>
              <w:tc>
                <w:tcPr>
                  <w:tcW w:w="985" w:type="pct"/>
                  <w:vMerge w:val="restart"/>
                  <w:tcBorders>
                    <w:tl2br w:val="nil"/>
                    <w:tr2bl w:val="nil"/>
                  </w:tcBorders>
                  <w:vAlign w:val="center"/>
                </w:tcPr>
                <w:p w14:paraId="5B81DE85">
                  <w:pPr>
                    <w:pStyle w:val="49"/>
                    <w:rPr>
                      <w:color w:val="auto"/>
                    </w:rPr>
                  </w:pPr>
                  <w:r>
                    <w:rPr>
                      <w:color w:val="auto"/>
                    </w:rPr>
                    <w:t>名称</w:t>
                  </w:r>
                </w:p>
              </w:tc>
              <w:tc>
                <w:tcPr>
                  <w:tcW w:w="954" w:type="pct"/>
                  <w:vMerge w:val="restart"/>
                  <w:tcBorders>
                    <w:tl2br w:val="nil"/>
                    <w:tr2bl w:val="nil"/>
                  </w:tcBorders>
                  <w:vAlign w:val="center"/>
                </w:tcPr>
                <w:p w14:paraId="4695B439">
                  <w:pPr>
                    <w:pStyle w:val="49"/>
                    <w:rPr>
                      <w:color w:val="auto"/>
                    </w:rPr>
                  </w:pPr>
                  <w:r>
                    <w:rPr>
                      <w:color w:val="auto"/>
                    </w:rPr>
                    <w:t>产生工序</w:t>
                  </w:r>
                </w:p>
              </w:tc>
              <w:tc>
                <w:tcPr>
                  <w:tcW w:w="544" w:type="pct"/>
                  <w:vMerge w:val="restart"/>
                  <w:tcBorders>
                    <w:tl2br w:val="nil"/>
                    <w:tr2bl w:val="nil"/>
                  </w:tcBorders>
                  <w:vAlign w:val="center"/>
                </w:tcPr>
                <w:p w14:paraId="7E571419">
                  <w:pPr>
                    <w:pStyle w:val="49"/>
                    <w:rPr>
                      <w:color w:val="auto"/>
                    </w:rPr>
                  </w:pPr>
                  <w:r>
                    <w:rPr>
                      <w:color w:val="auto"/>
                    </w:rPr>
                    <w:t>形态</w:t>
                  </w:r>
                </w:p>
              </w:tc>
              <w:tc>
                <w:tcPr>
                  <w:tcW w:w="776" w:type="pct"/>
                  <w:vMerge w:val="restart"/>
                  <w:tcBorders>
                    <w:tl2br w:val="nil"/>
                    <w:tr2bl w:val="nil"/>
                  </w:tcBorders>
                  <w:vAlign w:val="center"/>
                </w:tcPr>
                <w:p w14:paraId="567DCBC2">
                  <w:pPr>
                    <w:pStyle w:val="49"/>
                    <w:rPr>
                      <w:color w:val="auto"/>
                    </w:rPr>
                  </w:pPr>
                  <w:r>
                    <w:rPr>
                      <w:color w:val="auto"/>
                    </w:rPr>
                    <w:t>预测产生量</w:t>
                  </w:r>
                </w:p>
                <w:p w14:paraId="6888DE95">
                  <w:pPr>
                    <w:pStyle w:val="49"/>
                    <w:rPr>
                      <w:color w:val="auto"/>
                    </w:rPr>
                  </w:pPr>
                  <w:r>
                    <w:rPr>
                      <w:color w:val="auto"/>
                    </w:rPr>
                    <w:t>（t/a）</w:t>
                  </w:r>
                </w:p>
              </w:tc>
              <w:tc>
                <w:tcPr>
                  <w:tcW w:w="1471" w:type="pct"/>
                  <w:gridSpan w:val="3"/>
                  <w:tcBorders>
                    <w:tl2br w:val="nil"/>
                    <w:tr2bl w:val="nil"/>
                  </w:tcBorders>
                  <w:vAlign w:val="center"/>
                </w:tcPr>
                <w:p w14:paraId="63188565">
                  <w:pPr>
                    <w:pStyle w:val="49"/>
                    <w:rPr>
                      <w:color w:val="auto"/>
                    </w:rPr>
                  </w:pPr>
                  <w:r>
                    <w:rPr>
                      <w:color w:val="auto"/>
                    </w:rPr>
                    <w:t>种类判断</w:t>
                  </w:r>
                </w:p>
              </w:tc>
            </w:tr>
            <w:tr w14:paraId="568D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4" w:hRule="atLeast"/>
                <w:jc w:val="center"/>
              </w:trPr>
              <w:tc>
                <w:tcPr>
                  <w:tcW w:w="267" w:type="pct"/>
                  <w:vMerge w:val="continue"/>
                  <w:tcBorders>
                    <w:tl2br w:val="nil"/>
                    <w:tr2bl w:val="nil"/>
                  </w:tcBorders>
                  <w:vAlign w:val="center"/>
                </w:tcPr>
                <w:p w14:paraId="22B69100">
                  <w:pPr>
                    <w:pStyle w:val="49"/>
                    <w:rPr>
                      <w:color w:val="auto"/>
                    </w:rPr>
                  </w:pPr>
                </w:p>
              </w:tc>
              <w:tc>
                <w:tcPr>
                  <w:tcW w:w="985" w:type="pct"/>
                  <w:vMerge w:val="continue"/>
                  <w:tcBorders>
                    <w:tl2br w:val="nil"/>
                    <w:tr2bl w:val="nil"/>
                  </w:tcBorders>
                  <w:vAlign w:val="center"/>
                </w:tcPr>
                <w:p w14:paraId="3CFE3EEA">
                  <w:pPr>
                    <w:pStyle w:val="49"/>
                    <w:rPr>
                      <w:color w:val="auto"/>
                    </w:rPr>
                  </w:pPr>
                </w:p>
              </w:tc>
              <w:tc>
                <w:tcPr>
                  <w:tcW w:w="954" w:type="pct"/>
                  <w:vMerge w:val="continue"/>
                  <w:tcBorders>
                    <w:tl2br w:val="nil"/>
                    <w:tr2bl w:val="nil"/>
                  </w:tcBorders>
                  <w:vAlign w:val="center"/>
                </w:tcPr>
                <w:p w14:paraId="55EFD928">
                  <w:pPr>
                    <w:pStyle w:val="49"/>
                    <w:rPr>
                      <w:color w:val="auto"/>
                    </w:rPr>
                  </w:pPr>
                </w:p>
              </w:tc>
              <w:tc>
                <w:tcPr>
                  <w:tcW w:w="544" w:type="pct"/>
                  <w:vMerge w:val="continue"/>
                  <w:tcBorders>
                    <w:tl2br w:val="nil"/>
                    <w:tr2bl w:val="nil"/>
                  </w:tcBorders>
                  <w:vAlign w:val="center"/>
                </w:tcPr>
                <w:p w14:paraId="387B5C31">
                  <w:pPr>
                    <w:pStyle w:val="49"/>
                    <w:rPr>
                      <w:color w:val="auto"/>
                    </w:rPr>
                  </w:pPr>
                </w:p>
              </w:tc>
              <w:tc>
                <w:tcPr>
                  <w:tcW w:w="776" w:type="pct"/>
                  <w:vMerge w:val="continue"/>
                  <w:tcBorders>
                    <w:tl2br w:val="nil"/>
                    <w:tr2bl w:val="nil"/>
                  </w:tcBorders>
                  <w:vAlign w:val="center"/>
                </w:tcPr>
                <w:p w14:paraId="10F943BD">
                  <w:pPr>
                    <w:pStyle w:val="49"/>
                    <w:rPr>
                      <w:color w:val="auto"/>
                    </w:rPr>
                  </w:pPr>
                </w:p>
              </w:tc>
              <w:tc>
                <w:tcPr>
                  <w:tcW w:w="478" w:type="pct"/>
                  <w:tcBorders>
                    <w:tl2br w:val="nil"/>
                    <w:tr2bl w:val="nil"/>
                  </w:tcBorders>
                  <w:vAlign w:val="center"/>
                </w:tcPr>
                <w:p w14:paraId="28AABB47">
                  <w:pPr>
                    <w:pStyle w:val="49"/>
                    <w:rPr>
                      <w:color w:val="auto"/>
                    </w:rPr>
                  </w:pPr>
                  <w:r>
                    <w:rPr>
                      <w:color w:val="auto"/>
                    </w:rPr>
                    <w:t>固体</w:t>
                  </w:r>
                </w:p>
                <w:p w14:paraId="73D921F8">
                  <w:pPr>
                    <w:pStyle w:val="49"/>
                    <w:rPr>
                      <w:color w:val="auto"/>
                    </w:rPr>
                  </w:pPr>
                  <w:r>
                    <w:rPr>
                      <w:color w:val="auto"/>
                    </w:rPr>
                    <w:t>废物</w:t>
                  </w:r>
                </w:p>
              </w:tc>
              <w:tc>
                <w:tcPr>
                  <w:tcW w:w="381" w:type="pct"/>
                  <w:tcBorders>
                    <w:tl2br w:val="nil"/>
                    <w:tr2bl w:val="nil"/>
                  </w:tcBorders>
                  <w:vAlign w:val="center"/>
                </w:tcPr>
                <w:p w14:paraId="0F2D0D3B">
                  <w:pPr>
                    <w:pStyle w:val="49"/>
                    <w:rPr>
                      <w:color w:val="auto"/>
                    </w:rPr>
                  </w:pPr>
                  <w:r>
                    <w:rPr>
                      <w:color w:val="auto"/>
                    </w:rPr>
                    <w:t>副产品</w:t>
                  </w:r>
                </w:p>
              </w:tc>
              <w:tc>
                <w:tcPr>
                  <w:tcW w:w="611" w:type="pct"/>
                  <w:tcBorders>
                    <w:tl2br w:val="nil"/>
                    <w:tr2bl w:val="nil"/>
                  </w:tcBorders>
                  <w:vAlign w:val="center"/>
                </w:tcPr>
                <w:p w14:paraId="65171584">
                  <w:pPr>
                    <w:pStyle w:val="49"/>
                    <w:rPr>
                      <w:color w:val="auto"/>
                    </w:rPr>
                  </w:pPr>
                  <w:r>
                    <w:rPr>
                      <w:color w:val="auto"/>
                    </w:rPr>
                    <w:t>判定依据</w:t>
                  </w:r>
                </w:p>
              </w:tc>
            </w:tr>
            <w:tr w14:paraId="3795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267" w:type="pct"/>
                  <w:tcBorders>
                    <w:tl2br w:val="nil"/>
                    <w:tr2bl w:val="nil"/>
                  </w:tcBorders>
                  <w:vAlign w:val="center"/>
                </w:tcPr>
                <w:p w14:paraId="1DCAE887">
                  <w:pPr>
                    <w:pStyle w:val="51"/>
                    <w:rPr>
                      <w:color w:val="auto"/>
                    </w:rPr>
                  </w:pPr>
                  <w:r>
                    <w:rPr>
                      <w:color w:val="auto"/>
                    </w:rPr>
                    <w:t>1</w:t>
                  </w:r>
                </w:p>
              </w:tc>
              <w:tc>
                <w:tcPr>
                  <w:tcW w:w="985" w:type="pct"/>
                  <w:tcBorders>
                    <w:tl2br w:val="nil"/>
                    <w:tr2bl w:val="nil"/>
                  </w:tcBorders>
                  <w:vAlign w:val="center"/>
                </w:tcPr>
                <w:p w14:paraId="17E1317E">
                  <w:pPr>
                    <w:pStyle w:val="51"/>
                    <w:rPr>
                      <w:color w:val="auto"/>
                    </w:rPr>
                  </w:pPr>
                  <w:r>
                    <w:rPr>
                      <w:rFonts w:hint="eastAsia"/>
                      <w:color w:val="auto"/>
                    </w:rPr>
                    <w:t>废丝</w:t>
                  </w:r>
                </w:p>
              </w:tc>
              <w:tc>
                <w:tcPr>
                  <w:tcW w:w="954" w:type="pct"/>
                  <w:tcBorders>
                    <w:tl2br w:val="nil"/>
                    <w:tr2bl w:val="nil"/>
                  </w:tcBorders>
                  <w:vAlign w:val="center"/>
                </w:tcPr>
                <w:p w14:paraId="18935E73">
                  <w:pPr>
                    <w:pStyle w:val="51"/>
                    <w:rPr>
                      <w:color w:val="auto"/>
                    </w:rPr>
                  </w:pPr>
                  <w:r>
                    <w:rPr>
                      <w:rFonts w:hint="eastAsia"/>
                      <w:color w:val="auto"/>
                    </w:rPr>
                    <w:t>加弹、喷水织造、整经</w:t>
                  </w:r>
                </w:p>
              </w:tc>
              <w:tc>
                <w:tcPr>
                  <w:tcW w:w="544" w:type="pct"/>
                  <w:tcBorders>
                    <w:tl2br w:val="nil"/>
                    <w:tr2bl w:val="nil"/>
                  </w:tcBorders>
                  <w:vAlign w:val="center"/>
                </w:tcPr>
                <w:p w14:paraId="7BE41678">
                  <w:pPr>
                    <w:pStyle w:val="51"/>
                    <w:rPr>
                      <w:color w:val="auto"/>
                    </w:rPr>
                  </w:pPr>
                  <w:r>
                    <w:rPr>
                      <w:rFonts w:hint="eastAsia"/>
                      <w:color w:val="auto"/>
                    </w:rPr>
                    <w:t>固态</w:t>
                  </w:r>
                </w:p>
              </w:tc>
              <w:tc>
                <w:tcPr>
                  <w:tcW w:w="776" w:type="pct"/>
                  <w:tcBorders>
                    <w:tl2br w:val="nil"/>
                    <w:tr2bl w:val="nil"/>
                  </w:tcBorders>
                  <w:vAlign w:val="center"/>
                </w:tcPr>
                <w:p w14:paraId="2245CE21">
                  <w:pPr>
                    <w:pStyle w:val="51"/>
                    <w:rPr>
                      <w:color w:val="auto"/>
                    </w:rPr>
                  </w:pPr>
                  <w:r>
                    <w:rPr>
                      <w:rFonts w:hint="eastAsia"/>
                      <w:color w:val="auto"/>
                    </w:rPr>
                    <w:t>200</w:t>
                  </w:r>
                </w:p>
              </w:tc>
              <w:tc>
                <w:tcPr>
                  <w:tcW w:w="478" w:type="pct"/>
                  <w:tcBorders>
                    <w:tl2br w:val="nil"/>
                    <w:tr2bl w:val="nil"/>
                  </w:tcBorders>
                  <w:vAlign w:val="center"/>
                </w:tcPr>
                <w:p w14:paraId="11C95BD7">
                  <w:pPr>
                    <w:pStyle w:val="51"/>
                    <w:rPr>
                      <w:color w:val="auto"/>
                    </w:rPr>
                  </w:pPr>
                  <w:r>
                    <w:rPr>
                      <w:color w:val="auto"/>
                    </w:rPr>
                    <w:t>√</w:t>
                  </w:r>
                </w:p>
              </w:tc>
              <w:tc>
                <w:tcPr>
                  <w:tcW w:w="381" w:type="pct"/>
                  <w:tcBorders>
                    <w:tl2br w:val="nil"/>
                    <w:tr2bl w:val="nil"/>
                  </w:tcBorders>
                  <w:vAlign w:val="center"/>
                </w:tcPr>
                <w:p w14:paraId="7E346958">
                  <w:pPr>
                    <w:pStyle w:val="51"/>
                    <w:rPr>
                      <w:color w:val="auto"/>
                    </w:rPr>
                  </w:pPr>
                </w:p>
              </w:tc>
              <w:tc>
                <w:tcPr>
                  <w:tcW w:w="611" w:type="pct"/>
                  <w:vMerge w:val="restart"/>
                  <w:tcBorders>
                    <w:tl2br w:val="nil"/>
                    <w:tr2bl w:val="nil"/>
                  </w:tcBorders>
                  <w:vAlign w:val="center"/>
                </w:tcPr>
                <w:p w14:paraId="4762AA80">
                  <w:pPr>
                    <w:pStyle w:val="51"/>
                    <w:rPr>
                      <w:color w:val="auto"/>
                    </w:rPr>
                  </w:pPr>
                  <w:r>
                    <w:rPr>
                      <w:color w:val="auto"/>
                    </w:rPr>
                    <w:t>《固体废物鉴别标准通则》（GB34330-2017）</w:t>
                  </w:r>
                </w:p>
              </w:tc>
            </w:tr>
            <w:tr w14:paraId="1C81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42" w:hRule="atLeast"/>
                <w:jc w:val="center"/>
              </w:trPr>
              <w:tc>
                <w:tcPr>
                  <w:tcW w:w="267" w:type="pct"/>
                  <w:tcBorders>
                    <w:tl2br w:val="nil"/>
                    <w:tr2bl w:val="nil"/>
                  </w:tcBorders>
                  <w:vAlign w:val="center"/>
                </w:tcPr>
                <w:p w14:paraId="3BF8D06D">
                  <w:pPr>
                    <w:pStyle w:val="51"/>
                    <w:rPr>
                      <w:color w:val="auto"/>
                    </w:rPr>
                  </w:pPr>
                  <w:r>
                    <w:rPr>
                      <w:color w:val="auto"/>
                    </w:rPr>
                    <w:t>2</w:t>
                  </w:r>
                </w:p>
              </w:tc>
              <w:tc>
                <w:tcPr>
                  <w:tcW w:w="985" w:type="pct"/>
                  <w:tcBorders>
                    <w:tl2br w:val="nil"/>
                    <w:tr2bl w:val="nil"/>
                  </w:tcBorders>
                  <w:vAlign w:val="center"/>
                </w:tcPr>
                <w:p w14:paraId="4270420C">
                  <w:pPr>
                    <w:pStyle w:val="51"/>
                    <w:rPr>
                      <w:color w:val="auto"/>
                    </w:rPr>
                  </w:pPr>
                  <w:r>
                    <w:rPr>
                      <w:rFonts w:hint="eastAsia"/>
                      <w:color w:val="auto"/>
                    </w:rPr>
                    <w:t>废磨毛料</w:t>
                  </w:r>
                </w:p>
              </w:tc>
              <w:tc>
                <w:tcPr>
                  <w:tcW w:w="954" w:type="pct"/>
                  <w:tcBorders>
                    <w:tl2br w:val="nil"/>
                    <w:tr2bl w:val="nil"/>
                  </w:tcBorders>
                  <w:vAlign w:val="center"/>
                </w:tcPr>
                <w:p w14:paraId="032F1380">
                  <w:pPr>
                    <w:pStyle w:val="51"/>
                    <w:rPr>
                      <w:color w:val="auto"/>
                    </w:rPr>
                  </w:pPr>
                  <w:r>
                    <w:rPr>
                      <w:rFonts w:hint="eastAsia"/>
                      <w:color w:val="auto"/>
                    </w:rPr>
                    <w:t>磨毛</w:t>
                  </w:r>
                </w:p>
              </w:tc>
              <w:tc>
                <w:tcPr>
                  <w:tcW w:w="544" w:type="pct"/>
                  <w:tcBorders>
                    <w:tl2br w:val="nil"/>
                    <w:tr2bl w:val="nil"/>
                  </w:tcBorders>
                  <w:vAlign w:val="center"/>
                </w:tcPr>
                <w:p w14:paraId="0AB3EA1A">
                  <w:pPr>
                    <w:pStyle w:val="51"/>
                    <w:rPr>
                      <w:color w:val="auto"/>
                    </w:rPr>
                  </w:pPr>
                  <w:r>
                    <w:rPr>
                      <w:rFonts w:hint="eastAsia"/>
                      <w:color w:val="auto"/>
                    </w:rPr>
                    <w:t>固态</w:t>
                  </w:r>
                </w:p>
              </w:tc>
              <w:tc>
                <w:tcPr>
                  <w:tcW w:w="776" w:type="pct"/>
                  <w:tcBorders>
                    <w:tl2br w:val="nil"/>
                    <w:tr2bl w:val="nil"/>
                  </w:tcBorders>
                  <w:vAlign w:val="center"/>
                </w:tcPr>
                <w:p w14:paraId="6BCF54FA">
                  <w:pPr>
                    <w:pStyle w:val="51"/>
                    <w:rPr>
                      <w:color w:val="auto"/>
                    </w:rPr>
                  </w:pPr>
                  <w:r>
                    <w:rPr>
                      <w:rFonts w:hint="eastAsia"/>
                      <w:color w:val="auto"/>
                    </w:rPr>
                    <w:t>10</w:t>
                  </w:r>
                </w:p>
              </w:tc>
              <w:tc>
                <w:tcPr>
                  <w:tcW w:w="478" w:type="pct"/>
                  <w:tcBorders>
                    <w:tl2br w:val="nil"/>
                    <w:tr2bl w:val="nil"/>
                  </w:tcBorders>
                  <w:vAlign w:val="center"/>
                </w:tcPr>
                <w:p w14:paraId="7D6B270D">
                  <w:pPr>
                    <w:pStyle w:val="51"/>
                    <w:rPr>
                      <w:color w:val="auto"/>
                    </w:rPr>
                  </w:pPr>
                  <w:r>
                    <w:rPr>
                      <w:color w:val="auto"/>
                    </w:rPr>
                    <w:t>√</w:t>
                  </w:r>
                </w:p>
              </w:tc>
              <w:tc>
                <w:tcPr>
                  <w:tcW w:w="381" w:type="pct"/>
                  <w:tcBorders>
                    <w:tl2br w:val="nil"/>
                    <w:tr2bl w:val="nil"/>
                  </w:tcBorders>
                  <w:vAlign w:val="center"/>
                </w:tcPr>
                <w:p w14:paraId="34E338ED">
                  <w:pPr>
                    <w:pStyle w:val="51"/>
                    <w:rPr>
                      <w:color w:val="auto"/>
                    </w:rPr>
                  </w:pPr>
                </w:p>
              </w:tc>
              <w:tc>
                <w:tcPr>
                  <w:tcW w:w="611" w:type="pct"/>
                  <w:vMerge w:val="continue"/>
                  <w:tcBorders>
                    <w:tl2br w:val="nil"/>
                    <w:tr2bl w:val="nil"/>
                  </w:tcBorders>
                  <w:vAlign w:val="center"/>
                </w:tcPr>
                <w:p w14:paraId="3940B00E">
                  <w:pPr>
                    <w:rPr>
                      <w:color w:val="auto"/>
                    </w:rPr>
                  </w:pPr>
                </w:p>
              </w:tc>
            </w:tr>
            <w:tr w14:paraId="15DD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267" w:type="pct"/>
                  <w:tcBorders>
                    <w:tl2br w:val="nil"/>
                    <w:tr2bl w:val="nil"/>
                  </w:tcBorders>
                  <w:vAlign w:val="center"/>
                </w:tcPr>
                <w:p w14:paraId="7C3CD303">
                  <w:pPr>
                    <w:pStyle w:val="51"/>
                    <w:rPr>
                      <w:color w:val="auto"/>
                    </w:rPr>
                  </w:pPr>
                  <w:r>
                    <w:rPr>
                      <w:color w:val="auto"/>
                    </w:rPr>
                    <w:t>3</w:t>
                  </w:r>
                </w:p>
              </w:tc>
              <w:tc>
                <w:tcPr>
                  <w:tcW w:w="985" w:type="pct"/>
                  <w:tcBorders>
                    <w:tl2br w:val="nil"/>
                    <w:tr2bl w:val="nil"/>
                  </w:tcBorders>
                  <w:vAlign w:val="center"/>
                </w:tcPr>
                <w:p w14:paraId="17D2D9C1">
                  <w:pPr>
                    <w:pStyle w:val="51"/>
                    <w:rPr>
                      <w:color w:val="auto"/>
                    </w:rPr>
                  </w:pPr>
                  <w:r>
                    <w:rPr>
                      <w:rFonts w:hint="eastAsia"/>
                      <w:color w:val="auto"/>
                    </w:rPr>
                    <w:t>废布</w:t>
                  </w:r>
                </w:p>
              </w:tc>
              <w:tc>
                <w:tcPr>
                  <w:tcW w:w="954" w:type="pct"/>
                  <w:tcBorders>
                    <w:tl2br w:val="nil"/>
                    <w:tr2bl w:val="nil"/>
                  </w:tcBorders>
                  <w:vAlign w:val="center"/>
                </w:tcPr>
                <w:p w14:paraId="11B12878">
                  <w:pPr>
                    <w:pStyle w:val="51"/>
                    <w:rPr>
                      <w:color w:val="auto"/>
                    </w:rPr>
                  </w:pPr>
                  <w:r>
                    <w:rPr>
                      <w:rFonts w:hint="eastAsia"/>
                      <w:color w:val="auto"/>
                    </w:rPr>
                    <w:t>验布</w:t>
                  </w:r>
                </w:p>
              </w:tc>
              <w:tc>
                <w:tcPr>
                  <w:tcW w:w="544" w:type="pct"/>
                  <w:tcBorders>
                    <w:tl2br w:val="nil"/>
                    <w:tr2bl w:val="nil"/>
                  </w:tcBorders>
                  <w:vAlign w:val="center"/>
                </w:tcPr>
                <w:p w14:paraId="4D56ABD3">
                  <w:pPr>
                    <w:pStyle w:val="51"/>
                    <w:rPr>
                      <w:color w:val="auto"/>
                    </w:rPr>
                  </w:pPr>
                  <w:r>
                    <w:rPr>
                      <w:rFonts w:hint="eastAsia"/>
                      <w:color w:val="auto"/>
                    </w:rPr>
                    <w:t>固态</w:t>
                  </w:r>
                </w:p>
              </w:tc>
              <w:tc>
                <w:tcPr>
                  <w:tcW w:w="776" w:type="pct"/>
                  <w:tcBorders>
                    <w:tl2br w:val="nil"/>
                    <w:tr2bl w:val="nil"/>
                  </w:tcBorders>
                  <w:vAlign w:val="center"/>
                </w:tcPr>
                <w:p w14:paraId="2ACE70CE">
                  <w:pPr>
                    <w:pStyle w:val="51"/>
                    <w:rPr>
                      <w:color w:val="auto"/>
                    </w:rPr>
                  </w:pPr>
                  <w:r>
                    <w:rPr>
                      <w:rFonts w:hint="eastAsia"/>
                      <w:color w:val="auto"/>
                    </w:rPr>
                    <w:t>20</w:t>
                  </w:r>
                </w:p>
              </w:tc>
              <w:tc>
                <w:tcPr>
                  <w:tcW w:w="478" w:type="pct"/>
                  <w:tcBorders>
                    <w:tl2br w:val="nil"/>
                    <w:tr2bl w:val="nil"/>
                  </w:tcBorders>
                  <w:vAlign w:val="center"/>
                </w:tcPr>
                <w:p w14:paraId="3468EDEB">
                  <w:pPr>
                    <w:pStyle w:val="51"/>
                    <w:rPr>
                      <w:color w:val="auto"/>
                    </w:rPr>
                  </w:pPr>
                  <w:r>
                    <w:rPr>
                      <w:color w:val="auto"/>
                    </w:rPr>
                    <w:t>√</w:t>
                  </w:r>
                </w:p>
              </w:tc>
              <w:tc>
                <w:tcPr>
                  <w:tcW w:w="381" w:type="pct"/>
                  <w:tcBorders>
                    <w:tl2br w:val="nil"/>
                    <w:tr2bl w:val="nil"/>
                  </w:tcBorders>
                  <w:vAlign w:val="center"/>
                </w:tcPr>
                <w:p w14:paraId="410CADF7">
                  <w:pPr>
                    <w:pStyle w:val="51"/>
                    <w:rPr>
                      <w:color w:val="auto"/>
                    </w:rPr>
                  </w:pPr>
                </w:p>
              </w:tc>
              <w:tc>
                <w:tcPr>
                  <w:tcW w:w="611" w:type="pct"/>
                  <w:vMerge w:val="continue"/>
                  <w:tcBorders>
                    <w:tl2br w:val="nil"/>
                    <w:tr2bl w:val="nil"/>
                  </w:tcBorders>
                  <w:vAlign w:val="center"/>
                </w:tcPr>
                <w:p w14:paraId="745E4BD2">
                  <w:pPr>
                    <w:rPr>
                      <w:color w:val="auto"/>
                    </w:rPr>
                  </w:pPr>
                </w:p>
              </w:tc>
            </w:tr>
            <w:tr w14:paraId="51ED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42" w:hRule="atLeast"/>
                <w:jc w:val="center"/>
              </w:trPr>
              <w:tc>
                <w:tcPr>
                  <w:tcW w:w="267" w:type="pct"/>
                  <w:tcBorders>
                    <w:tl2br w:val="nil"/>
                    <w:tr2bl w:val="nil"/>
                  </w:tcBorders>
                  <w:vAlign w:val="center"/>
                </w:tcPr>
                <w:p w14:paraId="7BABDB3D">
                  <w:pPr>
                    <w:pStyle w:val="51"/>
                    <w:rPr>
                      <w:color w:val="auto"/>
                    </w:rPr>
                  </w:pPr>
                  <w:r>
                    <w:rPr>
                      <w:color w:val="auto"/>
                    </w:rPr>
                    <w:t>4</w:t>
                  </w:r>
                </w:p>
              </w:tc>
              <w:tc>
                <w:tcPr>
                  <w:tcW w:w="985" w:type="pct"/>
                  <w:tcBorders>
                    <w:tl2br w:val="nil"/>
                    <w:tr2bl w:val="nil"/>
                  </w:tcBorders>
                  <w:vAlign w:val="center"/>
                </w:tcPr>
                <w:p w14:paraId="0BE63D93">
                  <w:pPr>
                    <w:pStyle w:val="51"/>
                    <w:rPr>
                      <w:color w:val="auto"/>
                    </w:rPr>
                  </w:pPr>
                  <w:r>
                    <w:rPr>
                      <w:rFonts w:hint="eastAsia"/>
                      <w:color w:val="auto"/>
                    </w:rPr>
                    <w:t>废过滤介质</w:t>
                  </w:r>
                </w:p>
              </w:tc>
              <w:tc>
                <w:tcPr>
                  <w:tcW w:w="954" w:type="pct"/>
                  <w:vMerge w:val="restart"/>
                  <w:tcBorders>
                    <w:tl2br w:val="nil"/>
                    <w:tr2bl w:val="nil"/>
                  </w:tcBorders>
                  <w:vAlign w:val="center"/>
                </w:tcPr>
                <w:p w14:paraId="06EDBD1D">
                  <w:pPr>
                    <w:pStyle w:val="51"/>
                    <w:rPr>
                      <w:color w:val="auto"/>
                    </w:rPr>
                  </w:pPr>
                  <w:r>
                    <w:rPr>
                      <w:rFonts w:hint="eastAsia"/>
                      <w:color w:val="auto"/>
                    </w:rPr>
                    <w:t>喷水织造废水处理</w:t>
                  </w:r>
                </w:p>
              </w:tc>
              <w:tc>
                <w:tcPr>
                  <w:tcW w:w="544" w:type="pct"/>
                  <w:tcBorders>
                    <w:tl2br w:val="nil"/>
                    <w:tr2bl w:val="nil"/>
                  </w:tcBorders>
                  <w:vAlign w:val="center"/>
                </w:tcPr>
                <w:p w14:paraId="2E57546A">
                  <w:pPr>
                    <w:pStyle w:val="51"/>
                    <w:rPr>
                      <w:color w:val="auto"/>
                    </w:rPr>
                  </w:pPr>
                  <w:r>
                    <w:rPr>
                      <w:rFonts w:hint="eastAsia"/>
                      <w:color w:val="auto"/>
                    </w:rPr>
                    <w:t>固态</w:t>
                  </w:r>
                </w:p>
              </w:tc>
              <w:tc>
                <w:tcPr>
                  <w:tcW w:w="776" w:type="pct"/>
                  <w:tcBorders>
                    <w:tl2br w:val="nil"/>
                    <w:tr2bl w:val="nil"/>
                  </w:tcBorders>
                  <w:vAlign w:val="center"/>
                </w:tcPr>
                <w:p w14:paraId="3ACAEAC8">
                  <w:pPr>
                    <w:pStyle w:val="51"/>
                    <w:rPr>
                      <w:color w:val="auto"/>
                    </w:rPr>
                  </w:pPr>
                  <w:r>
                    <w:rPr>
                      <w:rFonts w:hint="eastAsia"/>
                      <w:color w:val="auto"/>
                    </w:rPr>
                    <w:t>23</w:t>
                  </w:r>
                </w:p>
              </w:tc>
              <w:tc>
                <w:tcPr>
                  <w:tcW w:w="478" w:type="pct"/>
                  <w:tcBorders>
                    <w:tl2br w:val="nil"/>
                    <w:tr2bl w:val="nil"/>
                  </w:tcBorders>
                  <w:vAlign w:val="center"/>
                </w:tcPr>
                <w:p w14:paraId="032FD48F">
                  <w:pPr>
                    <w:pStyle w:val="51"/>
                    <w:rPr>
                      <w:color w:val="auto"/>
                    </w:rPr>
                  </w:pPr>
                  <w:r>
                    <w:rPr>
                      <w:color w:val="auto"/>
                    </w:rPr>
                    <w:t>√</w:t>
                  </w:r>
                </w:p>
              </w:tc>
              <w:tc>
                <w:tcPr>
                  <w:tcW w:w="381" w:type="pct"/>
                  <w:tcBorders>
                    <w:tl2br w:val="nil"/>
                    <w:tr2bl w:val="nil"/>
                  </w:tcBorders>
                  <w:vAlign w:val="center"/>
                </w:tcPr>
                <w:p w14:paraId="1C018EF3">
                  <w:pPr>
                    <w:pStyle w:val="51"/>
                    <w:rPr>
                      <w:color w:val="auto"/>
                    </w:rPr>
                  </w:pPr>
                </w:p>
              </w:tc>
              <w:tc>
                <w:tcPr>
                  <w:tcW w:w="611" w:type="pct"/>
                  <w:vMerge w:val="continue"/>
                  <w:tcBorders>
                    <w:tl2br w:val="nil"/>
                    <w:tr2bl w:val="nil"/>
                  </w:tcBorders>
                  <w:vAlign w:val="center"/>
                </w:tcPr>
                <w:p w14:paraId="69041E23">
                  <w:pPr>
                    <w:rPr>
                      <w:color w:val="auto"/>
                    </w:rPr>
                  </w:pPr>
                </w:p>
              </w:tc>
            </w:tr>
            <w:tr w14:paraId="0B60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42" w:hRule="atLeast"/>
                <w:jc w:val="center"/>
              </w:trPr>
              <w:tc>
                <w:tcPr>
                  <w:tcW w:w="267" w:type="pct"/>
                  <w:tcBorders>
                    <w:tl2br w:val="nil"/>
                    <w:tr2bl w:val="nil"/>
                  </w:tcBorders>
                  <w:vAlign w:val="center"/>
                </w:tcPr>
                <w:p w14:paraId="4EEA35F2">
                  <w:pPr>
                    <w:pStyle w:val="51"/>
                    <w:rPr>
                      <w:color w:val="auto"/>
                    </w:rPr>
                  </w:pPr>
                  <w:r>
                    <w:rPr>
                      <w:color w:val="auto"/>
                    </w:rPr>
                    <w:t>5</w:t>
                  </w:r>
                </w:p>
              </w:tc>
              <w:tc>
                <w:tcPr>
                  <w:tcW w:w="985" w:type="pct"/>
                  <w:tcBorders>
                    <w:tl2br w:val="nil"/>
                    <w:tr2bl w:val="nil"/>
                  </w:tcBorders>
                  <w:vAlign w:val="center"/>
                </w:tcPr>
                <w:p w14:paraId="4C6B4D62">
                  <w:pPr>
                    <w:pStyle w:val="51"/>
                    <w:rPr>
                      <w:color w:val="auto"/>
                    </w:rPr>
                  </w:pPr>
                  <w:r>
                    <w:rPr>
                      <w:rFonts w:hint="eastAsia"/>
                      <w:color w:val="auto"/>
                    </w:rPr>
                    <w:t>生化污泥</w:t>
                  </w:r>
                </w:p>
              </w:tc>
              <w:tc>
                <w:tcPr>
                  <w:tcW w:w="954" w:type="pct"/>
                  <w:vMerge w:val="continue"/>
                  <w:tcBorders>
                    <w:tl2br w:val="nil"/>
                    <w:tr2bl w:val="nil"/>
                  </w:tcBorders>
                  <w:vAlign w:val="center"/>
                </w:tcPr>
                <w:p w14:paraId="06AC9D58">
                  <w:pPr>
                    <w:pStyle w:val="51"/>
                    <w:rPr>
                      <w:color w:val="auto"/>
                    </w:rPr>
                  </w:pPr>
                </w:p>
              </w:tc>
              <w:tc>
                <w:tcPr>
                  <w:tcW w:w="544" w:type="pct"/>
                  <w:tcBorders>
                    <w:tl2br w:val="nil"/>
                    <w:tr2bl w:val="nil"/>
                  </w:tcBorders>
                  <w:vAlign w:val="center"/>
                </w:tcPr>
                <w:p w14:paraId="589FAE91">
                  <w:pPr>
                    <w:pStyle w:val="51"/>
                    <w:rPr>
                      <w:color w:val="auto"/>
                    </w:rPr>
                  </w:pPr>
                  <w:r>
                    <w:rPr>
                      <w:rFonts w:hint="eastAsia"/>
                      <w:color w:val="auto"/>
                    </w:rPr>
                    <w:t>半固态</w:t>
                  </w:r>
                </w:p>
              </w:tc>
              <w:tc>
                <w:tcPr>
                  <w:tcW w:w="776" w:type="pct"/>
                  <w:tcBorders>
                    <w:tl2br w:val="nil"/>
                    <w:tr2bl w:val="nil"/>
                  </w:tcBorders>
                  <w:vAlign w:val="center"/>
                </w:tcPr>
                <w:p w14:paraId="092981A0">
                  <w:pPr>
                    <w:pStyle w:val="51"/>
                    <w:rPr>
                      <w:color w:val="auto"/>
                    </w:rPr>
                  </w:pPr>
                  <w:r>
                    <w:rPr>
                      <w:color w:val="auto"/>
                    </w:rPr>
                    <w:t xml:space="preserve">472.11 </w:t>
                  </w:r>
                </w:p>
              </w:tc>
              <w:tc>
                <w:tcPr>
                  <w:tcW w:w="478" w:type="pct"/>
                  <w:tcBorders>
                    <w:tl2br w:val="nil"/>
                    <w:tr2bl w:val="nil"/>
                  </w:tcBorders>
                  <w:vAlign w:val="center"/>
                </w:tcPr>
                <w:p w14:paraId="72A46044">
                  <w:pPr>
                    <w:pStyle w:val="51"/>
                    <w:rPr>
                      <w:color w:val="auto"/>
                    </w:rPr>
                  </w:pPr>
                  <w:r>
                    <w:rPr>
                      <w:color w:val="auto"/>
                    </w:rPr>
                    <w:t>√</w:t>
                  </w:r>
                </w:p>
              </w:tc>
              <w:tc>
                <w:tcPr>
                  <w:tcW w:w="381" w:type="pct"/>
                  <w:tcBorders>
                    <w:tl2br w:val="nil"/>
                    <w:tr2bl w:val="nil"/>
                  </w:tcBorders>
                  <w:vAlign w:val="center"/>
                </w:tcPr>
                <w:p w14:paraId="6634751F">
                  <w:pPr>
                    <w:pStyle w:val="51"/>
                    <w:rPr>
                      <w:color w:val="auto"/>
                    </w:rPr>
                  </w:pPr>
                </w:p>
              </w:tc>
              <w:tc>
                <w:tcPr>
                  <w:tcW w:w="611" w:type="pct"/>
                  <w:vMerge w:val="continue"/>
                  <w:tcBorders>
                    <w:tl2br w:val="nil"/>
                    <w:tr2bl w:val="nil"/>
                  </w:tcBorders>
                  <w:vAlign w:val="center"/>
                </w:tcPr>
                <w:p w14:paraId="5808E1CF">
                  <w:pPr>
                    <w:rPr>
                      <w:color w:val="auto"/>
                    </w:rPr>
                  </w:pPr>
                </w:p>
              </w:tc>
            </w:tr>
            <w:tr w14:paraId="34FD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267" w:type="pct"/>
                  <w:tcBorders>
                    <w:tl2br w:val="nil"/>
                    <w:tr2bl w:val="nil"/>
                  </w:tcBorders>
                  <w:vAlign w:val="center"/>
                </w:tcPr>
                <w:p w14:paraId="17DD0932">
                  <w:pPr>
                    <w:pStyle w:val="51"/>
                    <w:rPr>
                      <w:color w:val="auto"/>
                    </w:rPr>
                  </w:pPr>
                  <w:r>
                    <w:rPr>
                      <w:color w:val="auto"/>
                    </w:rPr>
                    <w:t>6</w:t>
                  </w:r>
                </w:p>
              </w:tc>
              <w:tc>
                <w:tcPr>
                  <w:tcW w:w="985" w:type="pct"/>
                  <w:tcBorders>
                    <w:tl2br w:val="nil"/>
                    <w:tr2bl w:val="nil"/>
                  </w:tcBorders>
                  <w:vAlign w:val="center"/>
                </w:tcPr>
                <w:p w14:paraId="5044050A">
                  <w:pPr>
                    <w:pStyle w:val="51"/>
                    <w:rPr>
                      <w:color w:val="auto"/>
                    </w:rPr>
                  </w:pPr>
                  <w:r>
                    <w:rPr>
                      <w:rFonts w:hint="eastAsia"/>
                      <w:color w:val="auto"/>
                    </w:rPr>
                    <w:t>物化污泥</w:t>
                  </w:r>
                </w:p>
              </w:tc>
              <w:tc>
                <w:tcPr>
                  <w:tcW w:w="954" w:type="pct"/>
                  <w:vMerge w:val="continue"/>
                  <w:tcBorders>
                    <w:tl2br w:val="nil"/>
                    <w:tr2bl w:val="nil"/>
                  </w:tcBorders>
                  <w:vAlign w:val="center"/>
                </w:tcPr>
                <w:p w14:paraId="2622477C">
                  <w:pPr>
                    <w:pStyle w:val="51"/>
                    <w:rPr>
                      <w:color w:val="auto"/>
                    </w:rPr>
                  </w:pPr>
                </w:p>
              </w:tc>
              <w:tc>
                <w:tcPr>
                  <w:tcW w:w="544" w:type="pct"/>
                  <w:tcBorders>
                    <w:tl2br w:val="nil"/>
                    <w:tr2bl w:val="nil"/>
                  </w:tcBorders>
                  <w:vAlign w:val="center"/>
                </w:tcPr>
                <w:p w14:paraId="6B3922B5">
                  <w:pPr>
                    <w:pStyle w:val="51"/>
                    <w:rPr>
                      <w:color w:val="auto"/>
                    </w:rPr>
                  </w:pPr>
                  <w:r>
                    <w:rPr>
                      <w:rFonts w:hint="eastAsia"/>
                      <w:color w:val="auto"/>
                    </w:rPr>
                    <w:t>半固态</w:t>
                  </w:r>
                </w:p>
              </w:tc>
              <w:tc>
                <w:tcPr>
                  <w:tcW w:w="776" w:type="pct"/>
                  <w:tcBorders>
                    <w:tl2br w:val="nil"/>
                    <w:tr2bl w:val="nil"/>
                  </w:tcBorders>
                  <w:vAlign w:val="center"/>
                </w:tcPr>
                <w:p w14:paraId="04186407">
                  <w:pPr>
                    <w:pStyle w:val="51"/>
                    <w:rPr>
                      <w:rFonts w:hint="default" w:eastAsia="宋体"/>
                      <w:color w:val="auto"/>
                      <w:lang w:val="en-US" w:eastAsia="zh-CN"/>
                    </w:rPr>
                  </w:pPr>
                  <w:r>
                    <w:rPr>
                      <w:rFonts w:hint="eastAsia"/>
                      <w:color w:val="auto"/>
                      <w:lang w:val="en-US" w:eastAsia="zh-CN"/>
                    </w:rPr>
                    <w:t>45.60</w:t>
                  </w:r>
                </w:p>
              </w:tc>
              <w:tc>
                <w:tcPr>
                  <w:tcW w:w="478" w:type="pct"/>
                  <w:tcBorders>
                    <w:tl2br w:val="nil"/>
                    <w:tr2bl w:val="nil"/>
                  </w:tcBorders>
                  <w:vAlign w:val="center"/>
                </w:tcPr>
                <w:p w14:paraId="5FE9FB1B">
                  <w:pPr>
                    <w:pStyle w:val="51"/>
                    <w:rPr>
                      <w:color w:val="auto"/>
                    </w:rPr>
                  </w:pPr>
                  <w:r>
                    <w:rPr>
                      <w:color w:val="auto"/>
                    </w:rPr>
                    <w:t>√</w:t>
                  </w:r>
                </w:p>
              </w:tc>
              <w:tc>
                <w:tcPr>
                  <w:tcW w:w="381" w:type="pct"/>
                  <w:tcBorders>
                    <w:tl2br w:val="nil"/>
                    <w:tr2bl w:val="nil"/>
                  </w:tcBorders>
                  <w:vAlign w:val="center"/>
                </w:tcPr>
                <w:p w14:paraId="1009C505">
                  <w:pPr>
                    <w:pStyle w:val="51"/>
                    <w:rPr>
                      <w:color w:val="auto"/>
                    </w:rPr>
                  </w:pPr>
                </w:p>
              </w:tc>
              <w:tc>
                <w:tcPr>
                  <w:tcW w:w="611" w:type="pct"/>
                  <w:vMerge w:val="continue"/>
                  <w:tcBorders>
                    <w:tl2br w:val="nil"/>
                    <w:tr2bl w:val="nil"/>
                  </w:tcBorders>
                  <w:vAlign w:val="center"/>
                </w:tcPr>
                <w:p w14:paraId="2E4C873E">
                  <w:pPr>
                    <w:rPr>
                      <w:color w:val="auto"/>
                    </w:rPr>
                  </w:pPr>
                </w:p>
              </w:tc>
            </w:tr>
            <w:tr w14:paraId="3095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267" w:type="pct"/>
                  <w:tcBorders>
                    <w:tl2br w:val="nil"/>
                    <w:tr2bl w:val="nil"/>
                  </w:tcBorders>
                  <w:vAlign w:val="center"/>
                </w:tcPr>
                <w:p w14:paraId="7D9D3B95">
                  <w:pPr>
                    <w:pStyle w:val="51"/>
                    <w:rPr>
                      <w:color w:val="auto"/>
                    </w:rPr>
                  </w:pPr>
                  <w:r>
                    <w:rPr>
                      <w:color w:val="auto"/>
                    </w:rPr>
                    <w:t>7</w:t>
                  </w:r>
                </w:p>
              </w:tc>
              <w:tc>
                <w:tcPr>
                  <w:tcW w:w="985" w:type="pct"/>
                  <w:tcBorders>
                    <w:tl2br w:val="nil"/>
                    <w:tr2bl w:val="nil"/>
                  </w:tcBorders>
                  <w:vAlign w:val="center"/>
                </w:tcPr>
                <w:p w14:paraId="1D5047D0">
                  <w:pPr>
                    <w:pStyle w:val="51"/>
                    <w:rPr>
                      <w:color w:val="auto"/>
                    </w:rPr>
                  </w:pPr>
                  <w:r>
                    <w:rPr>
                      <w:rFonts w:hint="eastAsia"/>
                      <w:color w:val="auto"/>
                    </w:rPr>
                    <w:t>废加弹油</w:t>
                  </w:r>
                </w:p>
              </w:tc>
              <w:tc>
                <w:tcPr>
                  <w:tcW w:w="954" w:type="pct"/>
                  <w:tcBorders>
                    <w:tl2br w:val="nil"/>
                    <w:tr2bl w:val="nil"/>
                  </w:tcBorders>
                  <w:vAlign w:val="center"/>
                </w:tcPr>
                <w:p w14:paraId="07C4CB37">
                  <w:pPr>
                    <w:pStyle w:val="51"/>
                    <w:rPr>
                      <w:color w:val="auto"/>
                    </w:rPr>
                  </w:pPr>
                  <w:r>
                    <w:rPr>
                      <w:rFonts w:hint="eastAsia"/>
                      <w:color w:val="auto"/>
                    </w:rPr>
                    <w:t>加弹废气处理</w:t>
                  </w:r>
                </w:p>
              </w:tc>
              <w:tc>
                <w:tcPr>
                  <w:tcW w:w="544" w:type="pct"/>
                  <w:tcBorders>
                    <w:tl2br w:val="nil"/>
                    <w:tr2bl w:val="nil"/>
                  </w:tcBorders>
                  <w:vAlign w:val="center"/>
                </w:tcPr>
                <w:p w14:paraId="35F2AE4C">
                  <w:pPr>
                    <w:pStyle w:val="51"/>
                    <w:rPr>
                      <w:color w:val="auto"/>
                    </w:rPr>
                  </w:pPr>
                  <w:r>
                    <w:rPr>
                      <w:rFonts w:hint="eastAsia"/>
                      <w:color w:val="auto"/>
                    </w:rPr>
                    <w:t>液态</w:t>
                  </w:r>
                </w:p>
              </w:tc>
              <w:tc>
                <w:tcPr>
                  <w:tcW w:w="776" w:type="pct"/>
                  <w:tcBorders>
                    <w:tl2br w:val="nil"/>
                    <w:tr2bl w:val="nil"/>
                  </w:tcBorders>
                  <w:vAlign w:val="center"/>
                </w:tcPr>
                <w:p w14:paraId="3E9D1DF3">
                  <w:pPr>
                    <w:pStyle w:val="51"/>
                    <w:rPr>
                      <w:rFonts w:hint="eastAsia" w:eastAsia="宋体"/>
                      <w:color w:val="auto"/>
                      <w:lang w:eastAsia="zh-CN"/>
                    </w:rPr>
                  </w:pPr>
                  <w:r>
                    <w:rPr>
                      <w:rFonts w:hint="eastAsia"/>
                      <w:color w:val="auto"/>
                    </w:rPr>
                    <w:t>6.9</w:t>
                  </w:r>
                  <w:r>
                    <w:rPr>
                      <w:rFonts w:hint="eastAsia"/>
                      <w:color w:val="auto"/>
                      <w:lang w:val="en-US" w:eastAsia="zh-CN"/>
                    </w:rPr>
                    <w:t>8</w:t>
                  </w:r>
                </w:p>
              </w:tc>
              <w:tc>
                <w:tcPr>
                  <w:tcW w:w="478" w:type="pct"/>
                  <w:tcBorders>
                    <w:tl2br w:val="nil"/>
                    <w:tr2bl w:val="nil"/>
                  </w:tcBorders>
                  <w:vAlign w:val="center"/>
                </w:tcPr>
                <w:p w14:paraId="5E70023A">
                  <w:pPr>
                    <w:pStyle w:val="51"/>
                    <w:rPr>
                      <w:color w:val="auto"/>
                    </w:rPr>
                  </w:pPr>
                  <w:r>
                    <w:rPr>
                      <w:color w:val="auto"/>
                    </w:rPr>
                    <w:t>√</w:t>
                  </w:r>
                </w:p>
              </w:tc>
              <w:tc>
                <w:tcPr>
                  <w:tcW w:w="381" w:type="pct"/>
                  <w:tcBorders>
                    <w:tl2br w:val="nil"/>
                    <w:tr2bl w:val="nil"/>
                  </w:tcBorders>
                  <w:vAlign w:val="center"/>
                </w:tcPr>
                <w:p w14:paraId="270CA162">
                  <w:pPr>
                    <w:pStyle w:val="51"/>
                    <w:rPr>
                      <w:color w:val="auto"/>
                    </w:rPr>
                  </w:pPr>
                </w:p>
              </w:tc>
              <w:tc>
                <w:tcPr>
                  <w:tcW w:w="611" w:type="pct"/>
                  <w:vMerge w:val="continue"/>
                  <w:tcBorders>
                    <w:tl2br w:val="nil"/>
                    <w:tr2bl w:val="nil"/>
                  </w:tcBorders>
                  <w:vAlign w:val="center"/>
                </w:tcPr>
                <w:p w14:paraId="57B128E1">
                  <w:pPr>
                    <w:rPr>
                      <w:color w:val="auto"/>
                    </w:rPr>
                  </w:pPr>
                </w:p>
              </w:tc>
            </w:tr>
            <w:tr w14:paraId="21C3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267" w:type="pct"/>
                  <w:tcBorders>
                    <w:tl2br w:val="nil"/>
                    <w:tr2bl w:val="nil"/>
                  </w:tcBorders>
                  <w:vAlign w:val="center"/>
                </w:tcPr>
                <w:p w14:paraId="4B5962E0">
                  <w:pPr>
                    <w:pStyle w:val="51"/>
                    <w:rPr>
                      <w:color w:val="auto"/>
                    </w:rPr>
                  </w:pPr>
                  <w:r>
                    <w:rPr>
                      <w:color w:val="auto"/>
                    </w:rPr>
                    <w:t>8</w:t>
                  </w:r>
                </w:p>
              </w:tc>
              <w:tc>
                <w:tcPr>
                  <w:tcW w:w="985" w:type="pct"/>
                  <w:tcBorders>
                    <w:tl2br w:val="nil"/>
                    <w:tr2bl w:val="nil"/>
                  </w:tcBorders>
                  <w:vAlign w:val="center"/>
                </w:tcPr>
                <w:p w14:paraId="492D937B">
                  <w:pPr>
                    <w:pStyle w:val="51"/>
                    <w:rPr>
                      <w:color w:val="auto"/>
                    </w:rPr>
                  </w:pPr>
                  <w:r>
                    <w:rPr>
                      <w:rFonts w:hint="eastAsia"/>
                      <w:color w:val="auto"/>
                    </w:rPr>
                    <w:t>废机油</w:t>
                  </w:r>
                </w:p>
              </w:tc>
              <w:tc>
                <w:tcPr>
                  <w:tcW w:w="954" w:type="pct"/>
                  <w:tcBorders>
                    <w:tl2br w:val="nil"/>
                    <w:tr2bl w:val="nil"/>
                  </w:tcBorders>
                  <w:vAlign w:val="center"/>
                </w:tcPr>
                <w:p w14:paraId="6479D6A5">
                  <w:pPr>
                    <w:pStyle w:val="51"/>
                    <w:rPr>
                      <w:color w:val="auto"/>
                    </w:rPr>
                  </w:pPr>
                  <w:r>
                    <w:rPr>
                      <w:rFonts w:hint="eastAsia"/>
                      <w:color w:val="auto"/>
                    </w:rPr>
                    <w:t>设备维修保养</w:t>
                  </w:r>
                </w:p>
              </w:tc>
              <w:tc>
                <w:tcPr>
                  <w:tcW w:w="544" w:type="pct"/>
                  <w:tcBorders>
                    <w:tl2br w:val="nil"/>
                    <w:tr2bl w:val="nil"/>
                  </w:tcBorders>
                  <w:vAlign w:val="center"/>
                </w:tcPr>
                <w:p w14:paraId="30E9015C">
                  <w:pPr>
                    <w:pStyle w:val="51"/>
                    <w:rPr>
                      <w:color w:val="auto"/>
                    </w:rPr>
                  </w:pPr>
                  <w:r>
                    <w:rPr>
                      <w:rFonts w:hint="eastAsia"/>
                      <w:color w:val="auto"/>
                    </w:rPr>
                    <w:t>液态</w:t>
                  </w:r>
                </w:p>
              </w:tc>
              <w:tc>
                <w:tcPr>
                  <w:tcW w:w="776" w:type="pct"/>
                  <w:tcBorders>
                    <w:tl2br w:val="nil"/>
                    <w:tr2bl w:val="nil"/>
                  </w:tcBorders>
                  <w:vAlign w:val="center"/>
                </w:tcPr>
                <w:p w14:paraId="56F40256">
                  <w:pPr>
                    <w:pStyle w:val="51"/>
                    <w:rPr>
                      <w:color w:val="auto"/>
                    </w:rPr>
                  </w:pPr>
                  <w:r>
                    <w:rPr>
                      <w:rFonts w:hint="eastAsia"/>
                      <w:color w:val="auto"/>
                    </w:rPr>
                    <w:t>2.40</w:t>
                  </w:r>
                </w:p>
              </w:tc>
              <w:tc>
                <w:tcPr>
                  <w:tcW w:w="478" w:type="pct"/>
                  <w:tcBorders>
                    <w:tl2br w:val="nil"/>
                    <w:tr2bl w:val="nil"/>
                  </w:tcBorders>
                  <w:vAlign w:val="center"/>
                </w:tcPr>
                <w:p w14:paraId="41394173">
                  <w:pPr>
                    <w:pStyle w:val="51"/>
                    <w:rPr>
                      <w:color w:val="auto"/>
                    </w:rPr>
                  </w:pPr>
                  <w:r>
                    <w:rPr>
                      <w:color w:val="auto"/>
                    </w:rPr>
                    <w:t>√</w:t>
                  </w:r>
                </w:p>
              </w:tc>
              <w:tc>
                <w:tcPr>
                  <w:tcW w:w="381" w:type="pct"/>
                  <w:tcBorders>
                    <w:tl2br w:val="nil"/>
                    <w:tr2bl w:val="nil"/>
                  </w:tcBorders>
                  <w:vAlign w:val="center"/>
                </w:tcPr>
                <w:p w14:paraId="036A9513">
                  <w:pPr>
                    <w:pStyle w:val="51"/>
                    <w:rPr>
                      <w:color w:val="auto"/>
                    </w:rPr>
                  </w:pPr>
                </w:p>
              </w:tc>
              <w:tc>
                <w:tcPr>
                  <w:tcW w:w="611" w:type="pct"/>
                  <w:vMerge w:val="continue"/>
                  <w:tcBorders>
                    <w:tl2br w:val="nil"/>
                    <w:tr2bl w:val="nil"/>
                  </w:tcBorders>
                  <w:vAlign w:val="center"/>
                </w:tcPr>
                <w:p w14:paraId="6A0EBAEE">
                  <w:pPr>
                    <w:rPr>
                      <w:color w:val="auto"/>
                    </w:rPr>
                  </w:pPr>
                </w:p>
              </w:tc>
            </w:tr>
            <w:tr w14:paraId="530C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267" w:type="pct"/>
                  <w:tcBorders>
                    <w:tl2br w:val="nil"/>
                    <w:tr2bl w:val="nil"/>
                  </w:tcBorders>
                  <w:vAlign w:val="center"/>
                </w:tcPr>
                <w:p w14:paraId="3939855A">
                  <w:pPr>
                    <w:pStyle w:val="51"/>
                    <w:rPr>
                      <w:color w:val="auto"/>
                    </w:rPr>
                  </w:pPr>
                  <w:r>
                    <w:rPr>
                      <w:color w:val="auto"/>
                    </w:rPr>
                    <w:t>9</w:t>
                  </w:r>
                </w:p>
              </w:tc>
              <w:tc>
                <w:tcPr>
                  <w:tcW w:w="985" w:type="pct"/>
                  <w:tcBorders>
                    <w:tl2br w:val="nil"/>
                    <w:tr2bl w:val="nil"/>
                  </w:tcBorders>
                  <w:vAlign w:val="center"/>
                </w:tcPr>
                <w:p w14:paraId="776AADD5">
                  <w:pPr>
                    <w:pStyle w:val="51"/>
                    <w:rPr>
                      <w:color w:val="auto"/>
                    </w:rPr>
                  </w:pPr>
                  <w:r>
                    <w:rPr>
                      <w:rFonts w:hint="eastAsia"/>
                      <w:color w:val="auto"/>
                    </w:rPr>
                    <w:t>废机油桶</w:t>
                  </w:r>
                </w:p>
              </w:tc>
              <w:tc>
                <w:tcPr>
                  <w:tcW w:w="954" w:type="pct"/>
                  <w:tcBorders>
                    <w:tl2br w:val="nil"/>
                    <w:tr2bl w:val="nil"/>
                  </w:tcBorders>
                  <w:vAlign w:val="center"/>
                </w:tcPr>
                <w:p w14:paraId="60F1A95F">
                  <w:pPr>
                    <w:pStyle w:val="51"/>
                    <w:rPr>
                      <w:color w:val="auto"/>
                    </w:rPr>
                  </w:pPr>
                  <w:r>
                    <w:rPr>
                      <w:rFonts w:hint="eastAsia"/>
                      <w:color w:val="auto"/>
                    </w:rPr>
                    <w:t>设备维修保养</w:t>
                  </w:r>
                </w:p>
              </w:tc>
              <w:tc>
                <w:tcPr>
                  <w:tcW w:w="544" w:type="pct"/>
                  <w:tcBorders>
                    <w:tl2br w:val="nil"/>
                    <w:tr2bl w:val="nil"/>
                  </w:tcBorders>
                  <w:vAlign w:val="center"/>
                </w:tcPr>
                <w:p w14:paraId="776DFD59">
                  <w:pPr>
                    <w:pStyle w:val="51"/>
                    <w:rPr>
                      <w:color w:val="auto"/>
                    </w:rPr>
                  </w:pPr>
                  <w:r>
                    <w:rPr>
                      <w:rFonts w:hint="eastAsia"/>
                      <w:color w:val="auto"/>
                    </w:rPr>
                    <w:t>固态</w:t>
                  </w:r>
                </w:p>
              </w:tc>
              <w:tc>
                <w:tcPr>
                  <w:tcW w:w="776" w:type="pct"/>
                  <w:tcBorders>
                    <w:tl2br w:val="nil"/>
                    <w:tr2bl w:val="nil"/>
                  </w:tcBorders>
                  <w:vAlign w:val="center"/>
                </w:tcPr>
                <w:p w14:paraId="68A74FBA">
                  <w:pPr>
                    <w:pStyle w:val="51"/>
                    <w:rPr>
                      <w:color w:val="auto"/>
                    </w:rPr>
                  </w:pPr>
                  <w:r>
                    <w:rPr>
                      <w:rFonts w:hint="eastAsia"/>
                      <w:color w:val="auto"/>
                    </w:rPr>
                    <w:t>0.08</w:t>
                  </w:r>
                </w:p>
              </w:tc>
              <w:tc>
                <w:tcPr>
                  <w:tcW w:w="478" w:type="pct"/>
                  <w:tcBorders>
                    <w:tl2br w:val="nil"/>
                    <w:tr2bl w:val="nil"/>
                  </w:tcBorders>
                  <w:vAlign w:val="center"/>
                </w:tcPr>
                <w:p w14:paraId="317A0F1C">
                  <w:pPr>
                    <w:pStyle w:val="51"/>
                    <w:rPr>
                      <w:color w:val="auto"/>
                    </w:rPr>
                  </w:pPr>
                  <w:r>
                    <w:rPr>
                      <w:color w:val="auto"/>
                    </w:rPr>
                    <w:t>√</w:t>
                  </w:r>
                </w:p>
              </w:tc>
              <w:tc>
                <w:tcPr>
                  <w:tcW w:w="381" w:type="pct"/>
                  <w:tcBorders>
                    <w:tl2br w:val="nil"/>
                    <w:tr2bl w:val="nil"/>
                  </w:tcBorders>
                  <w:vAlign w:val="center"/>
                </w:tcPr>
                <w:p w14:paraId="6991B477">
                  <w:pPr>
                    <w:pStyle w:val="51"/>
                    <w:rPr>
                      <w:color w:val="auto"/>
                    </w:rPr>
                  </w:pPr>
                </w:p>
              </w:tc>
              <w:tc>
                <w:tcPr>
                  <w:tcW w:w="611" w:type="pct"/>
                  <w:vMerge w:val="continue"/>
                  <w:tcBorders>
                    <w:tl2br w:val="nil"/>
                    <w:tr2bl w:val="nil"/>
                  </w:tcBorders>
                  <w:vAlign w:val="center"/>
                </w:tcPr>
                <w:p w14:paraId="0CADDEF7">
                  <w:pPr>
                    <w:rPr>
                      <w:color w:val="auto"/>
                    </w:rPr>
                  </w:pPr>
                </w:p>
              </w:tc>
            </w:tr>
            <w:tr w14:paraId="6801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267" w:type="pct"/>
                  <w:tcBorders>
                    <w:tl2br w:val="nil"/>
                    <w:tr2bl w:val="nil"/>
                  </w:tcBorders>
                  <w:vAlign w:val="center"/>
                </w:tcPr>
                <w:p w14:paraId="5CA78DCF">
                  <w:pPr>
                    <w:pStyle w:val="51"/>
                    <w:rPr>
                      <w:color w:val="auto"/>
                    </w:rPr>
                  </w:pPr>
                  <w:r>
                    <w:rPr>
                      <w:color w:val="auto"/>
                    </w:rPr>
                    <w:t>10</w:t>
                  </w:r>
                </w:p>
              </w:tc>
              <w:tc>
                <w:tcPr>
                  <w:tcW w:w="985" w:type="pct"/>
                  <w:tcBorders>
                    <w:tl2br w:val="nil"/>
                    <w:tr2bl w:val="nil"/>
                  </w:tcBorders>
                  <w:vAlign w:val="center"/>
                </w:tcPr>
                <w:p w14:paraId="031B3382">
                  <w:pPr>
                    <w:pStyle w:val="51"/>
                    <w:rPr>
                      <w:color w:val="auto"/>
                    </w:rPr>
                  </w:pPr>
                  <w:r>
                    <w:rPr>
                      <w:rFonts w:hint="eastAsia"/>
                      <w:color w:val="auto"/>
                    </w:rPr>
                    <w:t>废包装材料</w:t>
                  </w:r>
                </w:p>
              </w:tc>
              <w:tc>
                <w:tcPr>
                  <w:tcW w:w="954" w:type="pct"/>
                  <w:tcBorders>
                    <w:tl2br w:val="nil"/>
                    <w:tr2bl w:val="nil"/>
                  </w:tcBorders>
                  <w:vAlign w:val="center"/>
                </w:tcPr>
                <w:p w14:paraId="158A8839">
                  <w:pPr>
                    <w:pStyle w:val="51"/>
                    <w:rPr>
                      <w:rFonts w:hint="eastAsia" w:eastAsia="宋体"/>
                      <w:color w:val="auto"/>
                      <w:lang w:eastAsia="zh-CN"/>
                    </w:rPr>
                  </w:pPr>
                  <w:r>
                    <w:rPr>
                      <w:rFonts w:hint="eastAsia"/>
                      <w:color w:val="auto"/>
                    </w:rPr>
                    <w:t>原辅料</w:t>
                  </w:r>
                  <w:r>
                    <w:rPr>
                      <w:rFonts w:hint="eastAsia"/>
                      <w:color w:val="auto"/>
                      <w:lang w:val="en-US" w:eastAsia="zh-CN"/>
                    </w:rPr>
                    <w:t>使用</w:t>
                  </w:r>
                </w:p>
              </w:tc>
              <w:tc>
                <w:tcPr>
                  <w:tcW w:w="544" w:type="pct"/>
                  <w:tcBorders>
                    <w:tl2br w:val="nil"/>
                    <w:tr2bl w:val="nil"/>
                  </w:tcBorders>
                  <w:vAlign w:val="center"/>
                </w:tcPr>
                <w:p w14:paraId="05F2509B">
                  <w:pPr>
                    <w:pStyle w:val="51"/>
                    <w:rPr>
                      <w:color w:val="auto"/>
                    </w:rPr>
                  </w:pPr>
                  <w:r>
                    <w:rPr>
                      <w:rFonts w:hint="eastAsia"/>
                      <w:color w:val="auto"/>
                    </w:rPr>
                    <w:t>固态</w:t>
                  </w:r>
                </w:p>
              </w:tc>
              <w:tc>
                <w:tcPr>
                  <w:tcW w:w="776" w:type="pct"/>
                  <w:tcBorders>
                    <w:tl2br w:val="nil"/>
                    <w:tr2bl w:val="nil"/>
                  </w:tcBorders>
                  <w:vAlign w:val="center"/>
                </w:tcPr>
                <w:p w14:paraId="34CFE3F3">
                  <w:pPr>
                    <w:pStyle w:val="51"/>
                    <w:rPr>
                      <w:rFonts w:hint="eastAsia" w:eastAsia="宋体"/>
                      <w:color w:val="auto"/>
                      <w:lang w:eastAsia="zh-CN"/>
                    </w:rPr>
                  </w:pPr>
                  <w:r>
                    <w:rPr>
                      <w:rFonts w:hint="eastAsia"/>
                      <w:color w:val="auto"/>
                      <w:lang w:val="en-US" w:eastAsia="zh-CN"/>
                    </w:rPr>
                    <w:t>6</w:t>
                  </w:r>
                </w:p>
              </w:tc>
              <w:tc>
                <w:tcPr>
                  <w:tcW w:w="478" w:type="pct"/>
                  <w:tcBorders>
                    <w:tl2br w:val="nil"/>
                    <w:tr2bl w:val="nil"/>
                  </w:tcBorders>
                  <w:vAlign w:val="center"/>
                </w:tcPr>
                <w:p w14:paraId="1D8E63B8">
                  <w:pPr>
                    <w:pStyle w:val="51"/>
                    <w:rPr>
                      <w:color w:val="auto"/>
                    </w:rPr>
                  </w:pPr>
                  <w:r>
                    <w:rPr>
                      <w:color w:val="auto"/>
                    </w:rPr>
                    <w:t>√</w:t>
                  </w:r>
                </w:p>
              </w:tc>
              <w:tc>
                <w:tcPr>
                  <w:tcW w:w="381" w:type="pct"/>
                  <w:tcBorders>
                    <w:tl2br w:val="nil"/>
                    <w:tr2bl w:val="nil"/>
                  </w:tcBorders>
                  <w:vAlign w:val="center"/>
                </w:tcPr>
                <w:p w14:paraId="0B4DDE94">
                  <w:pPr>
                    <w:pStyle w:val="51"/>
                    <w:rPr>
                      <w:color w:val="auto"/>
                    </w:rPr>
                  </w:pPr>
                </w:p>
              </w:tc>
              <w:tc>
                <w:tcPr>
                  <w:tcW w:w="611" w:type="pct"/>
                  <w:vMerge w:val="continue"/>
                  <w:tcBorders>
                    <w:tl2br w:val="nil"/>
                    <w:tr2bl w:val="nil"/>
                  </w:tcBorders>
                  <w:vAlign w:val="center"/>
                </w:tcPr>
                <w:p w14:paraId="310E542E">
                  <w:pPr>
                    <w:rPr>
                      <w:color w:val="auto"/>
                    </w:rPr>
                  </w:pPr>
                </w:p>
              </w:tc>
            </w:tr>
            <w:tr w14:paraId="3106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267" w:type="pct"/>
                  <w:tcBorders>
                    <w:tl2br w:val="nil"/>
                    <w:tr2bl w:val="nil"/>
                  </w:tcBorders>
                  <w:vAlign w:val="center"/>
                </w:tcPr>
                <w:p w14:paraId="06E4352B">
                  <w:pPr>
                    <w:pStyle w:val="51"/>
                    <w:rPr>
                      <w:color w:val="auto"/>
                    </w:rPr>
                  </w:pPr>
                  <w:r>
                    <w:rPr>
                      <w:color w:val="auto"/>
                    </w:rPr>
                    <w:t>11</w:t>
                  </w:r>
                </w:p>
              </w:tc>
              <w:tc>
                <w:tcPr>
                  <w:tcW w:w="985" w:type="pct"/>
                  <w:tcBorders>
                    <w:tl2br w:val="nil"/>
                    <w:tr2bl w:val="nil"/>
                  </w:tcBorders>
                  <w:vAlign w:val="center"/>
                </w:tcPr>
                <w:p w14:paraId="163D07EA">
                  <w:pPr>
                    <w:pStyle w:val="51"/>
                    <w:rPr>
                      <w:color w:val="auto"/>
                    </w:rPr>
                  </w:pPr>
                  <w:r>
                    <w:rPr>
                      <w:rFonts w:hint="eastAsia"/>
                      <w:color w:val="auto"/>
                    </w:rPr>
                    <w:t>生活垃圾</w:t>
                  </w:r>
                </w:p>
              </w:tc>
              <w:tc>
                <w:tcPr>
                  <w:tcW w:w="954" w:type="pct"/>
                  <w:tcBorders>
                    <w:tl2br w:val="nil"/>
                    <w:tr2bl w:val="nil"/>
                  </w:tcBorders>
                  <w:vAlign w:val="center"/>
                </w:tcPr>
                <w:p w14:paraId="29393D78">
                  <w:pPr>
                    <w:pStyle w:val="51"/>
                    <w:rPr>
                      <w:color w:val="auto"/>
                    </w:rPr>
                  </w:pPr>
                  <w:r>
                    <w:rPr>
                      <w:rFonts w:hint="eastAsia"/>
                      <w:color w:val="auto"/>
                    </w:rPr>
                    <w:t>职工生活</w:t>
                  </w:r>
                </w:p>
              </w:tc>
              <w:tc>
                <w:tcPr>
                  <w:tcW w:w="544" w:type="pct"/>
                  <w:tcBorders>
                    <w:tl2br w:val="nil"/>
                    <w:tr2bl w:val="nil"/>
                  </w:tcBorders>
                  <w:vAlign w:val="center"/>
                </w:tcPr>
                <w:p w14:paraId="45FCF5C0">
                  <w:pPr>
                    <w:pStyle w:val="51"/>
                    <w:rPr>
                      <w:color w:val="auto"/>
                    </w:rPr>
                  </w:pPr>
                  <w:r>
                    <w:rPr>
                      <w:rFonts w:hint="eastAsia"/>
                      <w:color w:val="auto"/>
                    </w:rPr>
                    <w:t>固态</w:t>
                  </w:r>
                </w:p>
              </w:tc>
              <w:tc>
                <w:tcPr>
                  <w:tcW w:w="776" w:type="pct"/>
                  <w:tcBorders>
                    <w:tl2br w:val="nil"/>
                    <w:tr2bl w:val="nil"/>
                  </w:tcBorders>
                  <w:vAlign w:val="center"/>
                </w:tcPr>
                <w:p w14:paraId="57F6618B">
                  <w:pPr>
                    <w:pStyle w:val="51"/>
                    <w:rPr>
                      <w:color w:val="auto"/>
                    </w:rPr>
                  </w:pPr>
                  <w:r>
                    <w:rPr>
                      <w:rFonts w:hint="eastAsia"/>
                      <w:color w:val="auto"/>
                    </w:rPr>
                    <w:t>30</w:t>
                  </w:r>
                </w:p>
              </w:tc>
              <w:tc>
                <w:tcPr>
                  <w:tcW w:w="478" w:type="pct"/>
                  <w:tcBorders>
                    <w:tl2br w:val="nil"/>
                    <w:tr2bl w:val="nil"/>
                  </w:tcBorders>
                  <w:vAlign w:val="center"/>
                </w:tcPr>
                <w:p w14:paraId="119C848F">
                  <w:pPr>
                    <w:pStyle w:val="51"/>
                    <w:rPr>
                      <w:color w:val="auto"/>
                    </w:rPr>
                  </w:pPr>
                  <w:r>
                    <w:rPr>
                      <w:color w:val="auto"/>
                    </w:rPr>
                    <w:t>√</w:t>
                  </w:r>
                </w:p>
              </w:tc>
              <w:tc>
                <w:tcPr>
                  <w:tcW w:w="381" w:type="pct"/>
                  <w:tcBorders>
                    <w:tl2br w:val="nil"/>
                    <w:tr2bl w:val="nil"/>
                  </w:tcBorders>
                  <w:vAlign w:val="center"/>
                </w:tcPr>
                <w:p w14:paraId="5B519343">
                  <w:pPr>
                    <w:pStyle w:val="51"/>
                    <w:rPr>
                      <w:color w:val="auto"/>
                    </w:rPr>
                  </w:pPr>
                </w:p>
              </w:tc>
              <w:tc>
                <w:tcPr>
                  <w:tcW w:w="611" w:type="pct"/>
                  <w:vMerge w:val="continue"/>
                  <w:tcBorders>
                    <w:tl2br w:val="nil"/>
                    <w:tr2bl w:val="nil"/>
                  </w:tcBorders>
                  <w:vAlign w:val="center"/>
                </w:tcPr>
                <w:p w14:paraId="496B925B">
                  <w:pPr>
                    <w:rPr>
                      <w:color w:val="auto"/>
                    </w:rPr>
                  </w:pPr>
                </w:p>
              </w:tc>
            </w:tr>
          </w:tbl>
          <w:p w14:paraId="4326597B">
            <w:pPr>
              <w:pStyle w:val="47"/>
              <w:ind w:firstLine="480"/>
              <w:rPr>
                <w:color w:val="auto"/>
              </w:rPr>
            </w:pPr>
            <w:r>
              <w:rPr>
                <w:color w:val="auto"/>
              </w:rPr>
              <w:t>本项目固体产生情况汇总如</w:t>
            </w:r>
            <w:r>
              <w:rPr>
                <w:color w:val="auto"/>
              </w:rPr>
              <w:fldChar w:fldCharType="begin"/>
            </w:r>
            <w:r>
              <w:rPr>
                <w:color w:val="auto"/>
              </w:rPr>
              <w:instrText xml:space="preserve"> REF _Ref6268 \h </w:instrText>
            </w:r>
            <w:r>
              <w:rPr>
                <w:color w:val="auto"/>
              </w:rPr>
              <w:fldChar w:fldCharType="separate"/>
            </w:r>
            <w:r>
              <w:rPr>
                <w:color w:val="auto"/>
              </w:rPr>
              <w:t>表4- 20</w:t>
            </w:r>
            <w:r>
              <w:rPr>
                <w:color w:val="auto"/>
              </w:rPr>
              <w:fldChar w:fldCharType="end"/>
            </w:r>
            <w:r>
              <w:rPr>
                <w:color w:val="auto"/>
              </w:rPr>
              <w:t>所示。另外根据《建设项目危险废物环境影响评价指南》（环境保护部公告2017年第43号）的相关要求对本项目涉及的危险废物进行汇总，具体详见</w:t>
            </w:r>
            <w:r>
              <w:rPr>
                <w:rFonts w:hint="default"/>
                <w:color w:val="auto"/>
                <w:lang w:val="en-US"/>
              </w:rPr>
              <w:fldChar w:fldCharType="begin"/>
            </w:r>
            <w:r>
              <w:rPr>
                <w:rFonts w:hint="default"/>
                <w:color w:val="auto"/>
                <w:lang w:val="en-US"/>
              </w:rPr>
              <w:instrText xml:space="preserve"> REF _Ref23821 \h </w:instrText>
            </w:r>
            <w:r>
              <w:rPr>
                <w:rFonts w:hint="default"/>
                <w:color w:val="auto"/>
                <w:lang w:val="en-US"/>
              </w:rPr>
              <w:fldChar w:fldCharType="separate"/>
            </w:r>
            <w:r>
              <w:rPr>
                <w:color w:val="auto"/>
              </w:rPr>
              <w:t>表4- 21</w:t>
            </w:r>
            <w:r>
              <w:rPr>
                <w:rFonts w:hint="default"/>
                <w:color w:val="auto"/>
                <w:lang w:val="en-US"/>
              </w:rPr>
              <w:fldChar w:fldCharType="end"/>
            </w:r>
            <w:r>
              <w:rPr>
                <w:color w:val="auto"/>
              </w:rPr>
              <w:t>。</w:t>
            </w:r>
          </w:p>
          <w:p w14:paraId="7169EB9F">
            <w:pPr>
              <w:pStyle w:val="7"/>
              <w:rPr>
                <w:color w:val="auto"/>
              </w:rPr>
            </w:pPr>
            <w:bookmarkStart w:id="79" w:name="_Ref6268"/>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20</w:t>
            </w:r>
            <w:r>
              <w:rPr>
                <w:color w:val="auto"/>
              </w:rPr>
              <w:fldChar w:fldCharType="end"/>
            </w:r>
            <w:bookmarkEnd w:id="79"/>
            <w:r>
              <w:rPr>
                <w:color w:val="auto"/>
              </w:rPr>
              <w:t xml:space="preserve"> 项目固体废物污染源源强核算结果及相关参数一览表 </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044"/>
              <w:gridCol w:w="1155"/>
              <w:gridCol w:w="619"/>
              <w:gridCol w:w="818"/>
              <w:gridCol w:w="1350"/>
              <w:gridCol w:w="737"/>
              <w:gridCol w:w="1935"/>
              <w:gridCol w:w="750"/>
            </w:tblGrid>
            <w:tr w14:paraId="3DA3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trPr>
              <w:tc>
                <w:tcPr>
                  <w:tcW w:w="620" w:type="pct"/>
                  <w:vMerge w:val="restart"/>
                  <w:tcBorders>
                    <w:tl2br w:val="nil"/>
                    <w:tr2bl w:val="nil"/>
                  </w:tcBorders>
                  <w:vAlign w:val="center"/>
                </w:tcPr>
                <w:p w14:paraId="7A1FD02F">
                  <w:pPr>
                    <w:pStyle w:val="49"/>
                    <w:rPr>
                      <w:color w:val="auto"/>
                    </w:rPr>
                  </w:pPr>
                  <w:r>
                    <w:rPr>
                      <w:color w:val="auto"/>
                    </w:rPr>
                    <w:t>产生</w:t>
                  </w:r>
                </w:p>
                <w:p w14:paraId="55088B51">
                  <w:pPr>
                    <w:pStyle w:val="49"/>
                    <w:rPr>
                      <w:color w:val="auto"/>
                    </w:rPr>
                  </w:pPr>
                  <w:r>
                    <w:rPr>
                      <w:color w:val="auto"/>
                    </w:rPr>
                    <w:t>工序</w:t>
                  </w:r>
                </w:p>
              </w:tc>
              <w:tc>
                <w:tcPr>
                  <w:tcW w:w="686" w:type="pct"/>
                  <w:vMerge w:val="restart"/>
                  <w:tcBorders>
                    <w:tl2br w:val="nil"/>
                    <w:tr2bl w:val="nil"/>
                  </w:tcBorders>
                  <w:vAlign w:val="center"/>
                </w:tcPr>
                <w:p w14:paraId="560141AA">
                  <w:pPr>
                    <w:pStyle w:val="49"/>
                    <w:rPr>
                      <w:color w:val="auto"/>
                    </w:rPr>
                  </w:pPr>
                  <w:r>
                    <w:rPr>
                      <w:color w:val="auto"/>
                    </w:rPr>
                    <w:t>固体废物</w:t>
                  </w:r>
                </w:p>
                <w:p w14:paraId="5EFFB675">
                  <w:pPr>
                    <w:pStyle w:val="49"/>
                    <w:rPr>
                      <w:color w:val="auto"/>
                    </w:rPr>
                  </w:pPr>
                  <w:r>
                    <w:rPr>
                      <w:color w:val="auto"/>
                    </w:rPr>
                    <w:t>名称</w:t>
                  </w:r>
                </w:p>
              </w:tc>
              <w:tc>
                <w:tcPr>
                  <w:tcW w:w="368" w:type="pct"/>
                  <w:vMerge w:val="restart"/>
                  <w:tcBorders>
                    <w:tl2br w:val="nil"/>
                    <w:tr2bl w:val="nil"/>
                  </w:tcBorders>
                  <w:vAlign w:val="center"/>
                </w:tcPr>
                <w:p w14:paraId="257F7366">
                  <w:pPr>
                    <w:pStyle w:val="49"/>
                    <w:rPr>
                      <w:color w:val="auto"/>
                    </w:rPr>
                  </w:pPr>
                  <w:r>
                    <w:rPr>
                      <w:color w:val="auto"/>
                    </w:rPr>
                    <w:t>固废</w:t>
                  </w:r>
                </w:p>
                <w:p w14:paraId="296A51EB">
                  <w:pPr>
                    <w:pStyle w:val="49"/>
                    <w:rPr>
                      <w:color w:val="auto"/>
                    </w:rPr>
                  </w:pPr>
                  <w:r>
                    <w:rPr>
                      <w:color w:val="auto"/>
                    </w:rPr>
                    <w:t>属性</w:t>
                  </w:r>
                </w:p>
              </w:tc>
              <w:tc>
                <w:tcPr>
                  <w:tcW w:w="486" w:type="pct"/>
                  <w:vMerge w:val="restart"/>
                  <w:tcBorders>
                    <w:tl2br w:val="nil"/>
                    <w:tr2bl w:val="nil"/>
                  </w:tcBorders>
                  <w:vAlign w:val="center"/>
                </w:tcPr>
                <w:p w14:paraId="395FDF49">
                  <w:pPr>
                    <w:pStyle w:val="49"/>
                    <w:rPr>
                      <w:color w:val="auto"/>
                    </w:rPr>
                  </w:pPr>
                  <w:r>
                    <w:rPr>
                      <w:color w:val="auto"/>
                    </w:rPr>
                    <w:t>危险</w:t>
                  </w:r>
                </w:p>
                <w:p w14:paraId="7B20FFB1">
                  <w:pPr>
                    <w:pStyle w:val="49"/>
                    <w:rPr>
                      <w:color w:val="auto"/>
                    </w:rPr>
                  </w:pPr>
                  <w:r>
                    <w:rPr>
                      <w:color w:val="auto"/>
                    </w:rPr>
                    <w:t>特性</w:t>
                  </w:r>
                </w:p>
              </w:tc>
              <w:tc>
                <w:tcPr>
                  <w:tcW w:w="802" w:type="pct"/>
                  <w:vMerge w:val="restart"/>
                  <w:tcBorders>
                    <w:tl2br w:val="nil"/>
                    <w:tr2bl w:val="nil"/>
                  </w:tcBorders>
                  <w:vAlign w:val="center"/>
                </w:tcPr>
                <w:p w14:paraId="4395BBAA">
                  <w:pPr>
                    <w:pStyle w:val="49"/>
                    <w:rPr>
                      <w:color w:val="auto"/>
                    </w:rPr>
                  </w:pPr>
                  <w:r>
                    <w:rPr>
                      <w:color w:val="auto"/>
                    </w:rPr>
                    <w:t>废物代码</w:t>
                  </w:r>
                </w:p>
              </w:tc>
              <w:tc>
                <w:tcPr>
                  <w:tcW w:w="438" w:type="pct"/>
                  <w:vMerge w:val="restart"/>
                  <w:tcBorders>
                    <w:tl2br w:val="nil"/>
                    <w:tr2bl w:val="nil"/>
                  </w:tcBorders>
                  <w:vAlign w:val="center"/>
                </w:tcPr>
                <w:p w14:paraId="66FD1689">
                  <w:pPr>
                    <w:pStyle w:val="49"/>
                    <w:rPr>
                      <w:color w:val="auto"/>
                    </w:rPr>
                  </w:pPr>
                  <w:r>
                    <w:rPr>
                      <w:color w:val="auto"/>
                    </w:rPr>
                    <w:t>产生量（t/a）</w:t>
                  </w:r>
                </w:p>
              </w:tc>
              <w:tc>
                <w:tcPr>
                  <w:tcW w:w="1596" w:type="pct"/>
                  <w:gridSpan w:val="2"/>
                  <w:tcBorders>
                    <w:tl2br w:val="nil"/>
                    <w:tr2bl w:val="nil"/>
                  </w:tcBorders>
                  <w:vAlign w:val="center"/>
                </w:tcPr>
                <w:p w14:paraId="21784891">
                  <w:pPr>
                    <w:pStyle w:val="49"/>
                    <w:rPr>
                      <w:color w:val="auto"/>
                    </w:rPr>
                  </w:pPr>
                  <w:r>
                    <w:rPr>
                      <w:color w:val="auto"/>
                    </w:rPr>
                    <w:t>处置措施</w:t>
                  </w:r>
                </w:p>
              </w:tc>
            </w:tr>
            <w:tr w14:paraId="3A98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trPr>
              <w:tc>
                <w:tcPr>
                  <w:tcW w:w="620" w:type="pct"/>
                  <w:vMerge w:val="continue"/>
                  <w:tcBorders>
                    <w:tl2br w:val="nil"/>
                    <w:tr2bl w:val="nil"/>
                  </w:tcBorders>
                  <w:vAlign w:val="center"/>
                </w:tcPr>
                <w:p w14:paraId="00F5AA0D">
                  <w:pPr>
                    <w:pStyle w:val="49"/>
                    <w:rPr>
                      <w:color w:val="auto"/>
                    </w:rPr>
                  </w:pPr>
                </w:p>
              </w:tc>
              <w:tc>
                <w:tcPr>
                  <w:tcW w:w="686" w:type="pct"/>
                  <w:vMerge w:val="continue"/>
                  <w:tcBorders>
                    <w:tl2br w:val="nil"/>
                    <w:tr2bl w:val="nil"/>
                  </w:tcBorders>
                  <w:vAlign w:val="center"/>
                </w:tcPr>
                <w:p w14:paraId="7702FB7C">
                  <w:pPr>
                    <w:pStyle w:val="49"/>
                    <w:rPr>
                      <w:color w:val="auto"/>
                    </w:rPr>
                  </w:pPr>
                </w:p>
              </w:tc>
              <w:tc>
                <w:tcPr>
                  <w:tcW w:w="368" w:type="pct"/>
                  <w:vMerge w:val="continue"/>
                  <w:tcBorders>
                    <w:tl2br w:val="nil"/>
                    <w:tr2bl w:val="nil"/>
                  </w:tcBorders>
                  <w:vAlign w:val="center"/>
                </w:tcPr>
                <w:p w14:paraId="780C7032">
                  <w:pPr>
                    <w:pStyle w:val="49"/>
                    <w:rPr>
                      <w:color w:val="auto"/>
                    </w:rPr>
                  </w:pPr>
                </w:p>
              </w:tc>
              <w:tc>
                <w:tcPr>
                  <w:tcW w:w="486" w:type="pct"/>
                  <w:vMerge w:val="continue"/>
                  <w:tcBorders>
                    <w:tl2br w:val="nil"/>
                    <w:tr2bl w:val="nil"/>
                  </w:tcBorders>
                  <w:vAlign w:val="center"/>
                </w:tcPr>
                <w:p w14:paraId="25873063">
                  <w:pPr>
                    <w:pStyle w:val="49"/>
                    <w:rPr>
                      <w:color w:val="auto"/>
                    </w:rPr>
                  </w:pPr>
                </w:p>
              </w:tc>
              <w:tc>
                <w:tcPr>
                  <w:tcW w:w="802" w:type="pct"/>
                  <w:vMerge w:val="continue"/>
                  <w:tcBorders>
                    <w:tl2br w:val="nil"/>
                    <w:tr2bl w:val="nil"/>
                  </w:tcBorders>
                  <w:vAlign w:val="center"/>
                </w:tcPr>
                <w:p w14:paraId="49BFB5AB">
                  <w:pPr>
                    <w:pStyle w:val="49"/>
                    <w:rPr>
                      <w:color w:val="auto"/>
                    </w:rPr>
                  </w:pPr>
                </w:p>
              </w:tc>
              <w:tc>
                <w:tcPr>
                  <w:tcW w:w="438" w:type="pct"/>
                  <w:vMerge w:val="continue"/>
                  <w:tcBorders>
                    <w:tl2br w:val="nil"/>
                    <w:tr2bl w:val="nil"/>
                  </w:tcBorders>
                  <w:vAlign w:val="center"/>
                </w:tcPr>
                <w:p w14:paraId="712A695B">
                  <w:pPr>
                    <w:pStyle w:val="49"/>
                    <w:rPr>
                      <w:color w:val="auto"/>
                    </w:rPr>
                  </w:pPr>
                </w:p>
              </w:tc>
              <w:tc>
                <w:tcPr>
                  <w:tcW w:w="1150" w:type="pct"/>
                  <w:tcBorders>
                    <w:tl2br w:val="nil"/>
                    <w:tr2bl w:val="nil"/>
                  </w:tcBorders>
                  <w:vAlign w:val="center"/>
                </w:tcPr>
                <w:p w14:paraId="2FCE7F9E">
                  <w:pPr>
                    <w:pStyle w:val="49"/>
                    <w:rPr>
                      <w:color w:val="auto"/>
                    </w:rPr>
                  </w:pPr>
                  <w:r>
                    <w:rPr>
                      <w:color w:val="auto"/>
                    </w:rPr>
                    <w:t>利用处置方式</w:t>
                  </w:r>
                </w:p>
              </w:tc>
              <w:tc>
                <w:tcPr>
                  <w:tcW w:w="446" w:type="pct"/>
                  <w:tcBorders>
                    <w:tl2br w:val="nil"/>
                    <w:tr2bl w:val="nil"/>
                  </w:tcBorders>
                  <w:vAlign w:val="center"/>
                </w:tcPr>
                <w:p w14:paraId="1751103B">
                  <w:pPr>
                    <w:pStyle w:val="49"/>
                    <w:rPr>
                      <w:color w:val="auto"/>
                    </w:rPr>
                  </w:pPr>
                  <w:r>
                    <w:rPr>
                      <w:color w:val="auto"/>
                    </w:rPr>
                    <w:t>处置量</w:t>
                  </w:r>
                </w:p>
                <w:p w14:paraId="7E46C0E9">
                  <w:pPr>
                    <w:pStyle w:val="49"/>
                    <w:rPr>
                      <w:color w:val="auto"/>
                    </w:rPr>
                  </w:pPr>
                  <w:r>
                    <w:rPr>
                      <w:color w:val="auto"/>
                    </w:rPr>
                    <w:t>(t/a)</w:t>
                  </w:r>
                </w:p>
              </w:tc>
            </w:tr>
            <w:tr w14:paraId="4373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rPr>
              <w:tc>
                <w:tcPr>
                  <w:tcW w:w="620" w:type="pct"/>
                  <w:tcBorders>
                    <w:tl2br w:val="nil"/>
                    <w:tr2bl w:val="nil"/>
                  </w:tcBorders>
                  <w:vAlign w:val="center"/>
                </w:tcPr>
                <w:p w14:paraId="3FAC1830">
                  <w:pPr>
                    <w:pStyle w:val="51"/>
                    <w:rPr>
                      <w:color w:val="auto"/>
                    </w:rPr>
                  </w:pPr>
                  <w:bookmarkStart w:id="80" w:name="_Ref6317"/>
                  <w:r>
                    <w:rPr>
                      <w:rFonts w:hint="eastAsia"/>
                      <w:color w:val="auto"/>
                    </w:rPr>
                    <w:t>加弹、喷水织造、整经</w:t>
                  </w:r>
                </w:p>
              </w:tc>
              <w:tc>
                <w:tcPr>
                  <w:tcW w:w="686" w:type="pct"/>
                  <w:tcBorders>
                    <w:tl2br w:val="nil"/>
                    <w:tr2bl w:val="nil"/>
                  </w:tcBorders>
                  <w:vAlign w:val="center"/>
                </w:tcPr>
                <w:p w14:paraId="342774A2">
                  <w:pPr>
                    <w:pStyle w:val="51"/>
                    <w:rPr>
                      <w:color w:val="auto"/>
                    </w:rPr>
                  </w:pPr>
                  <w:r>
                    <w:rPr>
                      <w:rFonts w:hint="eastAsia"/>
                      <w:color w:val="auto"/>
                    </w:rPr>
                    <w:t>废丝</w:t>
                  </w:r>
                </w:p>
              </w:tc>
              <w:tc>
                <w:tcPr>
                  <w:tcW w:w="368" w:type="pct"/>
                  <w:vMerge w:val="restart"/>
                  <w:tcBorders>
                    <w:tl2br w:val="nil"/>
                    <w:tr2bl w:val="nil"/>
                  </w:tcBorders>
                  <w:vAlign w:val="center"/>
                </w:tcPr>
                <w:p w14:paraId="3051AE80">
                  <w:pPr>
                    <w:pStyle w:val="51"/>
                    <w:rPr>
                      <w:color w:val="auto"/>
                    </w:rPr>
                  </w:pPr>
                  <w:r>
                    <w:rPr>
                      <w:rFonts w:hint="eastAsia"/>
                      <w:color w:val="auto"/>
                    </w:rPr>
                    <w:t>一般固废</w:t>
                  </w:r>
                </w:p>
              </w:tc>
              <w:tc>
                <w:tcPr>
                  <w:tcW w:w="486" w:type="pct"/>
                  <w:tcBorders>
                    <w:tl2br w:val="nil"/>
                    <w:tr2bl w:val="nil"/>
                  </w:tcBorders>
                  <w:vAlign w:val="center"/>
                </w:tcPr>
                <w:p w14:paraId="44BE9A80">
                  <w:pPr>
                    <w:pStyle w:val="51"/>
                    <w:rPr>
                      <w:color w:val="auto"/>
                    </w:rPr>
                  </w:pPr>
                  <w:r>
                    <w:rPr>
                      <w:color w:val="auto"/>
                    </w:rPr>
                    <w:t>S</w:t>
                  </w:r>
                  <w:r>
                    <w:rPr>
                      <w:rFonts w:hint="eastAsia"/>
                      <w:color w:val="auto"/>
                    </w:rPr>
                    <w:t>W</w:t>
                  </w:r>
                  <w:r>
                    <w:rPr>
                      <w:color w:val="auto"/>
                    </w:rPr>
                    <w:t>14</w:t>
                  </w:r>
                </w:p>
              </w:tc>
              <w:tc>
                <w:tcPr>
                  <w:tcW w:w="802" w:type="pct"/>
                  <w:tcBorders>
                    <w:tl2br w:val="nil"/>
                    <w:tr2bl w:val="nil"/>
                  </w:tcBorders>
                  <w:vAlign w:val="center"/>
                </w:tcPr>
                <w:p w14:paraId="7801604F">
                  <w:pPr>
                    <w:pStyle w:val="51"/>
                    <w:rPr>
                      <w:color w:val="auto"/>
                    </w:rPr>
                  </w:pPr>
                  <w:r>
                    <w:rPr>
                      <w:color w:val="auto"/>
                    </w:rPr>
                    <w:t>181-001-S14</w:t>
                  </w:r>
                </w:p>
              </w:tc>
              <w:tc>
                <w:tcPr>
                  <w:tcW w:w="438" w:type="pct"/>
                  <w:tcBorders>
                    <w:tl2br w:val="nil"/>
                    <w:tr2bl w:val="nil"/>
                  </w:tcBorders>
                  <w:vAlign w:val="center"/>
                </w:tcPr>
                <w:p w14:paraId="194756A2">
                  <w:pPr>
                    <w:pStyle w:val="51"/>
                    <w:rPr>
                      <w:color w:val="auto"/>
                    </w:rPr>
                  </w:pPr>
                  <w:r>
                    <w:rPr>
                      <w:rFonts w:hint="eastAsia"/>
                      <w:color w:val="auto"/>
                    </w:rPr>
                    <w:t>200</w:t>
                  </w:r>
                </w:p>
              </w:tc>
              <w:tc>
                <w:tcPr>
                  <w:tcW w:w="1150" w:type="pct"/>
                  <w:vMerge w:val="restart"/>
                  <w:tcBorders>
                    <w:tl2br w:val="nil"/>
                    <w:tr2bl w:val="nil"/>
                  </w:tcBorders>
                  <w:vAlign w:val="center"/>
                </w:tcPr>
                <w:p w14:paraId="3A0DF298">
                  <w:pPr>
                    <w:pStyle w:val="51"/>
                    <w:rPr>
                      <w:color w:val="auto"/>
                    </w:rPr>
                  </w:pPr>
                  <w:r>
                    <w:rPr>
                      <w:rFonts w:hint="eastAsia"/>
                      <w:color w:val="auto"/>
                    </w:rPr>
                    <w:t>收集后</w:t>
                  </w:r>
                  <w:r>
                    <w:rPr>
                      <w:color w:val="auto"/>
                    </w:rPr>
                    <w:t>暂存一般固废库，外售综合利用</w:t>
                  </w:r>
                </w:p>
              </w:tc>
              <w:tc>
                <w:tcPr>
                  <w:tcW w:w="446" w:type="pct"/>
                  <w:tcBorders>
                    <w:tl2br w:val="nil"/>
                    <w:tr2bl w:val="nil"/>
                  </w:tcBorders>
                  <w:vAlign w:val="center"/>
                </w:tcPr>
                <w:p w14:paraId="739702F9">
                  <w:pPr>
                    <w:pStyle w:val="51"/>
                    <w:rPr>
                      <w:color w:val="auto"/>
                    </w:rPr>
                  </w:pPr>
                  <w:r>
                    <w:rPr>
                      <w:rFonts w:hint="eastAsia"/>
                      <w:color w:val="auto"/>
                    </w:rPr>
                    <w:t>200</w:t>
                  </w:r>
                </w:p>
              </w:tc>
            </w:tr>
            <w:tr w14:paraId="7ED5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rPr>
              <w:tc>
                <w:tcPr>
                  <w:tcW w:w="620" w:type="pct"/>
                  <w:tcBorders>
                    <w:tl2br w:val="nil"/>
                    <w:tr2bl w:val="nil"/>
                  </w:tcBorders>
                  <w:vAlign w:val="center"/>
                </w:tcPr>
                <w:p w14:paraId="07D3D161">
                  <w:pPr>
                    <w:pStyle w:val="51"/>
                    <w:rPr>
                      <w:color w:val="auto"/>
                    </w:rPr>
                  </w:pPr>
                  <w:r>
                    <w:rPr>
                      <w:rFonts w:hint="eastAsia"/>
                      <w:color w:val="auto"/>
                    </w:rPr>
                    <w:t>磨毛</w:t>
                  </w:r>
                </w:p>
              </w:tc>
              <w:tc>
                <w:tcPr>
                  <w:tcW w:w="686" w:type="pct"/>
                  <w:tcBorders>
                    <w:tl2br w:val="nil"/>
                    <w:tr2bl w:val="nil"/>
                  </w:tcBorders>
                  <w:vAlign w:val="center"/>
                </w:tcPr>
                <w:p w14:paraId="52664D0B">
                  <w:pPr>
                    <w:pStyle w:val="51"/>
                    <w:rPr>
                      <w:color w:val="auto"/>
                    </w:rPr>
                  </w:pPr>
                  <w:r>
                    <w:rPr>
                      <w:rFonts w:hint="eastAsia"/>
                      <w:color w:val="auto"/>
                    </w:rPr>
                    <w:t>废磨毛料</w:t>
                  </w:r>
                </w:p>
              </w:tc>
              <w:tc>
                <w:tcPr>
                  <w:tcW w:w="368" w:type="pct"/>
                  <w:vMerge w:val="continue"/>
                  <w:tcBorders>
                    <w:tl2br w:val="nil"/>
                    <w:tr2bl w:val="nil"/>
                  </w:tcBorders>
                  <w:vAlign w:val="center"/>
                </w:tcPr>
                <w:p w14:paraId="7B6A5663">
                  <w:pPr>
                    <w:pStyle w:val="51"/>
                    <w:rPr>
                      <w:color w:val="auto"/>
                    </w:rPr>
                  </w:pPr>
                </w:p>
              </w:tc>
              <w:tc>
                <w:tcPr>
                  <w:tcW w:w="486" w:type="pct"/>
                  <w:tcBorders>
                    <w:tl2br w:val="nil"/>
                    <w:tr2bl w:val="nil"/>
                  </w:tcBorders>
                  <w:vAlign w:val="center"/>
                </w:tcPr>
                <w:p w14:paraId="4E2881E3">
                  <w:pPr>
                    <w:pStyle w:val="51"/>
                    <w:rPr>
                      <w:color w:val="auto"/>
                    </w:rPr>
                  </w:pPr>
                  <w:r>
                    <w:rPr>
                      <w:color w:val="auto"/>
                    </w:rPr>
                    <w:t>S</w:t>
                  </w:r>
                  <w:r>
                    <w:rPr>
                      <w:rFonts w:hint="eastAsia"/>
                      <w:color w:val="auto"/>
                    </w:rPr>
                    <w:t>W</w:t>
                  </w:r>
                  <w:r>
                    <w:rPr>
                      <w:color w:val="auto"/>
                    </w:rPr>
                    <w:t>17</w:t>
                  </w:r>
                </w:p>
              </w:tc>
              <w:tc>
                <w:tcPr>
                  <w:tcW w:w="802" w:type="pct"/>
                  <w:tcBorders>
                    <w:tl2br w:val="nil"/>
                    <w:tr2bl w:val="nil"/>
                  </w:tcBorders>
                  <w:vAlign w:val="center"/>
                </w:tcPr>
                <w:p w14:paraId="082F8D82">
                  <w:pPr>
                    <w:pStyle w:val="51"/>
                    <w:rPr>
                      <w:color w:val="auto"/>
                    </w:rPr>
                  </w:pPr>
                  <w:r>
                    <w:rPr>
                      <w:color w:val="auto"/>
                    </w:rPr>
                    <w:t>900-007-S17</w:t>
                  </w:r>
                </w:p>
              </w:tc>
              <w:tc>
                <w:tcPr>
                  <w:tcW w:w="438" w:type="pct"/>
                  <w:tcBorders>
                    <w:tl2br w:val="nil"/>
                    <w:tr2bl w:val="nil"/>
                  </w:tcBorders>
                  <w:vAlign w:val="center"/>
                </w:tcPr>
                <w:p w14:paraId="0BD61E61">
                  <w:pPr>
                    <w:pStyle w:val="51"/>
                    <w:rPr>
                      <w:color w:val="auto"/>
                    </w:rPr>
                  </w:pPr>
                  <w:r>
                    <w:rPr>
                      <w:rFonts w:hint="eastAsia"/>
                      <w:color w:val="auto"/>
                    </w:rPr>
                    <w:t>10</w:t>
                  </w:r>
                </w:p>
              </w:tc>
              <w:tc>
                <w:tcPr>
                  <w:tcW w:w="1150" w:type="pct"/>
                  <w:vMerge w:val="continue"/>
                  <w:tcBorders>
                    <w:tl2br w:val="nil"/>
                    <w:tr2bl w:val="nil"/>
                  </w:tcBorders>
                  <w:vAlign w:val="center"/>
                </w:tcPr>
                <w:p w14:paraId="64FCC62B">
                  <w:pPr>
                    <w:pStyle w:val="51"/>
                    <w:rPr>
                      <w:color w:val="auto"/>
                    </w:rPr>
                  </w:pPr>
                </w:p>
              </w:tc>
              <w:tc>
                <w:tcPr>
                  <w:tcW w:w="446" w:type="pct"/>
                  <w:tcBorders>
                    <w:tl2br w:val="nil"/>
                    <w:tr2bl w:val="nil"/>
                  </w:tcBorders>
                  <w:vAlign w:val="center"/>
                </w:tcPr>
                <w:p w14:paraId="0C9EE2EB">
                  <w:pPr>
                    <w:pStyle w:val="51"/>
                    <w:rPr>
                      <w:color w:val="auto"/>
                    </w:rPr>
                  </w:pPr>
                  <w:r>
                    <w:rPr>
                      <w:rFonts w:hint="eastAsia"/>
                      <w:color w:val="auto"/>
                    </w:rPr>
                    <w:t>10</w:t>
                  </w:r>
                </w:p>
              </w:tc>
            </w:tr>
            <w:tr w14:paraId="4963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rPr>
              <w:tc>
                <w:tcPr>
                  <w:tcW w:w="620" w:type="pct"/>
                  <w:tcBorders>
                    <w:tl2br w:val="nil"/>
                    <w:tr2bl w:val="nil"/>
                  </w:tcBorders>
                  <w:vAlign w:val="center"/>
                </w:tcPr>
                <w:p w14:paraId="1BF2312E">
                  <w:pPr>
                    <w:pStyle w:val="51"/>
                    <w:rPr>
                      <w:color w:val="auto"/>
                    </w:rPr>
                  </w:pPr>
                  <w:r>
                    <w:rPr>
                      <w:rFonts w:hint="eastAsia"/>
                      <w:color w:val="auto"/>
                    </w:rPr>
                    <w:t>验布</w:t>
                  </w:r>
                </w:p>
              </w:tc>
              <w:tc>
                <w:tcPr>
                  <w:tcW w:w="686" w:type="pct"/>
                  <w:tcBorders>
                    <w:tl2br w:val="nil"/>
                    <w:tr2bl w:val="nil"/>
                  </w:tcBorders>
                  <w:vAlign w:val="center"/>
                </w:tcPr>
                <w:p w14:paraId="61D7CD36">
                  <w:pPr>
                    <w:pStyle w:val="51"/>
                    <w:rPr>
                      <w:color w:val="auto"/>
                    </w:rPr>
                  </w:pPr>
                  <w:r>
                    <w:rPr>
                      <w:rFonts w:hint="eastAsia"/>
                      <w:color w:val="auto"/>
                    </w:rPr>
                    <w:t>废布</w:t>
                  </w:r>
                </w:p>
              </w:tc>
              <w:tc>
                <w:tcPr>
                  <w:tcW w:w="368" w:type="pct"/>
                  <w:vMerge w:val="continue"/>
                  <w:tcBorders>
                    <w:tl2br w:val="nil"/>
                    <w:tr2bl w:val="nil"/>
                  </w:tcBorders>
                  <w:vAlign w:val="center"/>
                </w:tcPr>
                <w:p w14:paraId="1BB965A6">
                  <w:pPr>
                    <w:pStyle w:val="51"/>
                    <w:rPr>
                      <w:color w:val="auto"/>
                    </w:rPr>
                  </w:pPr>
                </w:p>
              </w:tc>
              <w:tc>
                <w:tcPr>
                  <w:tcW w:w="486" w:type="pct"/>
                  <w:tcBorders>
                    <w:tl2br w:val="nil"/>
                    <w:tr2bl w:val="nil"/>
                  </w:tcBorders>
                  <w:vAlign w:val="center"/>
                </w:tcPr>
                <w:p w14:paraId="3DFF9849">
                  <w:pPr>
                    <w:pStyle w:val="51"/>
                    <w:rPr>
                      <w:color w:val="auto"/>
                    </w:rPr>
                  </w:pPr>
                  <w:r>
                    <w:rPr>
                      <w:color w:val="auto"/>
                    </w:rPr>
                    <w:t>S</w:t>
                  </w:r>
                  <w:r>
                    <w:rPr>
                      <w:rFonts w:hint="eastAsia"/>
                      <w:color w:val="auto"/>
                    </w:rPr>
                    <w:t>W</w:t>
                  </w:r>
                  <w:r>
                    <w:rPr>
                      <w:color w:val="auto"/>
                    </w:rPr>
                    <w:t>17</w:t>
                  </w:r>
                </w:p>
              </w:tc>
              <w:tc>
                <w:tcPr>
                  <w:tcW w:w="802" w:type="pct"/>
                  <w:tcBorders>
                    <w:tl2br w:val="nil"/>
                    <w:tr2bl w:val="nil"/>
                  </w:tcBorders>
                  <w:vAlign w:val="center"/>
                </w:tcPr>
                <w:p w14:paraId="34F30B0E">
                  <w:pPr>
                    <w:pStyle w:val="51"/>
                    <w:rPr>
                      <w:color w:val="auto"/>
                    </w:rPr>
                  </w:pPr>
                  <w:r>
                    <w:rPr>
                      <w:color w:val="auto"/>
                    </w:rPr>
                    <w:t>900-007-S17</w:t>
                  </w:r>
                </w:p>
              </w:tc>
              <w:tc>
                <w:tcPr>
                  <w:tcW w:w="438" w:type="pct"/>
                  <w:tcBorders>
                    <w:tl2br w:val="nil"/>
                    <w:tr2bl w:val="nil"/>
                  </w:tcBorders>
                  <w:vAlign w:val="center"/>
                </w:tcPr>
                <w:p w14:paraId="1C49A69B">
                  <w:pPr>
                    <w:pStyle w:val="51"/>
                    <w:rPr>
                      <w:color w:val="auto"/>
                    </w:rPr>
                  </w:pPr>
                  <w:r>
                    <w:rPr>
                      <w:rFonts w:hint="eastAsia"/>
                      <w:color w:val="auto"/>
                    </w:rPr>
                    <w:t>20</w:t>
                  </w:r>
                </w:p>
              </w:tc>
              <w:tc>
                <w:tcPr>
                  <w:tcW w:w="1150" w:type="pct"/>
                  <w:vMerge w:val="continue"/>
                  <w:tcBorders>
                    <w:tl2br w:val="nil"/>
                    <w:tr2bl w:val="nil"/>
                  </w:tcBorders>
                  <w:vAlign w:val="center"/>
                </w:tcPr>
                <w:p w14:paraId="4EBF8BD4">
                  <w:pPr>
                    <w:pStyle w:val="51"/>
                    <w:rPr>
                      <w:color w:val="auto"/>
                    </w:rPr>
                  </w:pPr>
                </w:p>
              </w:tc>
              <w:tc>
                <w:tcPr>
                  <w:tcW w:w="446" w:type="pct"/>
                  <w:tcBorders>
                    <w:tl2br w:val="nil"/>
                    <w:tr2bl w:val="nil"/>
                  </w:tcBorders>
                  <w:vAlign w:val="center"/>
                </w:tcPr>
                <w:p w14:paraId="419396BA">
                  <w:pPr>
                    <w:pStyle w:val="51"/>
                    <w:rPr>
                      <w:color w:val="auto"/>
                    </w:rPr>
                  </w:pPr>
                  <w:r>
                    <w:rPr>
                      <w:rFonts w:hint="eastAsia"/>
                      <w:color w:val="auto"/>
                    </w:rPr>
                    <w:t>20</w:t>
                  </w:r>
                </w:p>
              </w:tc>
            </w:tr>
            <w:tr w14:paraId="22E3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rPr>
              <w:tc>
                <w:tcPr>
                  <w:tcW w:w="620" w:type="pct"/>
                  <w:vMerge w:val="restart"/>
                  <w:tcBorders>
                    <w:tl2br w:val="nil"/>
                    <w:tr2bl w:val="nil"/>
                  </w:tcBorders>
                  <w:vAlign w:val="center"/>
                </w:tcPr>
                <w:p w14:paraId="257308FF">
                  <w:pPr>
                    <w:pStyle w:val="51"/>
                    <w:rPr>
                      <w:color w:val="auto"/>
                    </w:rPr>
                  </w:pPr>
                  <w:r>
                    <w:rPr>
                      <w:rFonts w:hint="eastAsia"/>
                      <w:color w:val="auto"/>
                    </w:rPr>
                    <w:t>喷水织造废水处理</w:t>
                  </w:r>
                </w:p>
              </w:tc>
              <w:tc>
                <w:tcPr>
                  <w:tcW w:w="686" w:type="pct"/>
                  <w:tcBorders>
                    <w:tl2br w:val="nil"/>
                    <w:tr2bl w:val="nil"/>
                  </w:tcBorders>
                  <w:vAlign w:val="center"/>
                </w:tcPr>
                <w:p w14:paraId="04F96FD9">
                  <w:pPr>
                    <w:pStyle w:val="51"/>
                    <w:rPr>
                      <w:color w:val="auto"/>
                    </w:rPr>
                  </w:pPr>
                  <w:r>
                    <w:rPr>
                      <w:rFonts w:hint="eastAsia"/>
                      <w:color w:val="auto"/>
                    </w:rPr>
                    <w:t>废过滤介质</w:t>
                  </w:r>
                </w:p>
              </w:tc>
              <w:tc>
                <w:tcPr>
                  <w:tcW w:w="368" w:type="pct"/>
                  <w:vMerge w:val="continue"/>
                  <w:tcBorders>
                    <w:tl2br w:val="nil"/>
                    <w:tr2bl w:val="nil"/>
                  </w:tcBorders>
                  <w:vAlign w:val="center"/>
                </w:tcPr>
                <w:p w14:paraId="4FE538C4">
                  <w:pPr>
                    <w:pStyle w:val="51"/>
                    <w:rPr>
                      <w:color w:val="auto"/>
                    </w:rPr>
                  </w:pPr>
                </w:p>
              </w:tc>
              <w:tc>
                <w:tcPr>
                  <w:tcW w:w="486" w:type="pct"/>
                  <w:tcBorders>
                    <w:tl2br w:val="nil"/>
                    <w:tr2bl w:val="nil"/>
                  </w:tcBorders>
                  <w:vAlign w:val="center"/>
                </w:tcPr>
                <w:p w14:paraId="388EE5B0">
                  <w:pPr>
                    <w:pStyle w:val="51"/>
                    <w:rPr>
                      <w:color w:val="auto"/>
                    </w:rPr>
                  </w:pPr>
                  <w:r>
                    <w:rPr>
                      <w:rFonts w:hint="eastAsia"/>
                      <w:color w:val="auto"/>
                    </w:rPr>
                    <w:t>SW59</w:t>
                  </w:r>
                </w:p>
              </w:tc>
              <w:tc>
                <w:tcPr>
                  <w:tcW w:w="802" w:type="pct"/>
                  <w:tcBorders>
                    <w:tl2br w:val="nil"/>
                    <w:tr2bl w:val="nil"/>
                  </w:tcBorders>
                  <w:vAlign w:val="center"/>
                </w:tcPr>
                <w:p w14:paraId="5CF5D598">
                  <w:pPr>
                    <w:pStyle w:val="51"/>
                    <w:rPr>
                      <w:color w:val="auto"/>
                    </w:rPr>
                  </w:pPr>
                  <w:r>
                    <w:rPr>
                      <w:color w:val="auto"/>
                    </w:rPr>
                    <w:t>900-008-S59</w:t>
                  </w:r>
                </w:p>
              </w:tc>
              <w:tc>
                <w:tcPr>
                  <w:tcW w:w="438" w:type="pct"/>
                  <w:tcBorders>
                    <w:tl2br w:val="nil"/>
                    <w:tr2bl w:val="nil"/>
                  </w:tcBorders>
                  <w:vAlign w:val="center"/>
                </w:tcPr>
                <w:p w14:paraId="1F59977C">
                  <w:pPr>
                    <w:pStyle w:val="51"/>
                    <w:rPr>
                      <w:color w:val="auto"/>
                    </w:rPr>
                  </w:pPr>
                  <w:r>
                    <w:rPr>
                      <w:rFonts w:hint="eastAsia"/>
                      <w:color w:val="auto"/>
                    </w:rPr>
                    <w:t>23</w:t>
                  </w:r>
                </w:p>
              </w:tc>
              <w:tc>
                <w:tcPr>
                  <w:tcW w:w="1150" w:type="pct"/>
                  <w:vMerge w:val="continue"/>
                  <w:tcBorders>
                    <w:tl2br w:val="nil"/>
                    <w:tr2bl w:val="nil"/>
                  </w:tcBorders>
                  <w:vAlign w:val="center"/>
                </w:tcPr>
                <w:p w14:paraId="6F85D4F2">
                  <w:pPr>
                    <w:pStyle w:val="51"/>
                    <w:rPr>
                      <w:color w:val="auto"/>
                    </w:rPr>
                  </w:pPr>
                </w:p>
              </w:tc>
              <w:tc>
                <w:tcPr>
                  <w:tcW w:w="446" w:type="pct"/>
                  <w:tcBorders>
                    <w:tl2br w:val="nil"/>
                    <w:tr2bl w:val="nil"/>
                  </w:tcBorders>
                  <w:vAlign w:val="center"/>
                </w:tcPr>
                <w:p w14:paraId="18F4122E">
                  <w:pPr>
                    <w:pStyle w:val="51"/>
                    <w:rPr>
                      <w:color w:val="auto"/>
                    </w:rPr>
                  </w:pPr>
                  <w:r>
                    <w:rPr>
                      <w:rFonts w:hint="eastAsia"/>
                      <w:color w:val="auto"/>
                    </w:rPr>
                    <w:t>23</w:t>
                  </w:r>
                </w:p>
              </w:tc>
            </w:tr>
            <w:tr w14:paraId="0392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rPr>
              <w:tc>
                <w:tcPr>
                  <w:tcW w:w="620" w:type="pct"/>
                  <w:vMerge w:val="continue"/>
                  <w:tcBorders>
                    <w:tl2br w:val="nil"/>
                    <w:tr2bl w:val="nil"/>
                  </w:tcBorders>
                  <w:vAlign w:val="center"/>
                </w:tcPr>
                <w:p w14:paraId="04F8DC7E">
                  <w:pPr>
                    <w:pStyle w:val="51"/>
                    <w:rPr>
                      <w:color w:val="auto"/>
                    </w:rPr>
                  </w:pPr>
                </w:p>
              </w:tc>
              <w:tc>
                <w:tcPr>
                  <w:tcW w:w="686" w:type="pct"/>
                  <w:tcBorders>
                    <w:tl2br w:val="nil"/>
                    <w:tr2bl w:val="nil"/>
                  </w:tcBorders>
                  <w:vAlign w:val="center"/>
                </w:tcPr>
                <w:p w14:paraId="39D363D4">
                  <w:pPr>
                    <w:pStyle w:val="51"/>
                    <w:rPr>
                      <w:color w:val="auto"/>
                    </w:rPr>
                  </w:pPr>
                  <w:r>
                    <w:rPr>
                      <w:rFonts w:hint="eastAsia"/>
                      <w:color w:val="auto"/>
                    </w:rPr>
                    <w:t>生化污泥</w:t>
                  </w:r>
                </w:p>
              </w:tc>
              <w:tc>
                <w:tcPr>
                  <w:tcW w:w="368" w:type="pct"/>
                  <w:tcBorders>
                    <w:tl2br w:val="nil"/>
                    <w:tr2bl w:val="nil"/>
                  </w:tcBorders>
                  <w:shd w:val="clear" w:color="auto" w:fill="auto"/>
                  <w:vAlign w:val="center"/>
                </w:tcPr>
                <w:p w14:paraId="59536129">
                  <w:pPr>
                    <w:pStyle w:val="51"/>
                    <w:rPr>
                      <w:rFonts w:ascii="Times New Roman" w:hAnsi="Times New Roman" w:eastAsia="宋体" w:cs="Times New Roman"/>
                      <w:color w:val="auto"/>
                      <w:kern w:val="2"/>
                      <w:sz w:val="21"/>
                      <w:szCs w:val="21"/>
                      <w:lang w:val="en-US" w:eastAsia="zh-CN" w:bidi="ar-SA"/>
                    </w:rPr>
                  </w:pPr>
                  <w:bookmarkStart w:id="97" w:name="_GoBack"/>
                  <w:r>
                    <w:rPr>
                      <w:rFonts w:hint="eastAsia"/>
                      <w:color w:val="auto"/>
                      <w:lang w:val="en-US" w:eastAsia="zh-CN"/>
                    </w:rPr>
                    <w:t>鉴定前按危废暂存</w:t>
                  </w:r>
                  <w:bookmarkEnd w:id="97"/>
                </w:p>
              </w:tc>
              <w:tc>
                <w:tcPr>
                  <w:tcW w:w="486" w:type="pct"/>
                  <w:tcBorders>
                    <w:tl2br w:val="nil"/>
                    <w:tr2bl w:val="nil"/>
                  </w:tcBorders>
                  <w:shd w:val="clear" w:color="auto" w:fill="auto"/>
                  <w:vAlign w:val="center"/>
                </w:tcPr>
                <w:p w14:paraId="2ACEAF77">
                  <w:pPr>
                    <w:pStyle w:val="51"/>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802" w:type="pct"/>
                  <w:tcBorders>
                    <w:tl2br w:val="nil"/>
                    <w:tr2bl w:val="nil"/>
                  </w:tcBorders>
                  <w:vAlign w:val="center"/>
                </w:tcPr>
                <w:p w14:paraId="646B3672">
                  <w:pPr>
                    <w:pStyle w:val="51"/>
                    <w:rPr>
                      <w:rFonts w:hint="eastAsia" w:eastAsia="宋体"/>
                      <w:color w:val="auto"/>
                      <w:lang w:eastAsia="zh-CN"/>
                    </w:rPr>
                  </w:pPr>
                  <w:r>
                    <w:rPr>
                      <w:rFonts w:hint="eastAsia"/>
                      <w:color w:val="auto"/>
                      <w:lang w:val="en-US" w:eastAsia="zh-CN"/>
                    </w:rPr>
                    <w:t>/</w:t>
                  </w:r>
                </w:p>
              </w:tc>
              <w:tc>
                <w:tcPr>
                  <w:tcW w:w="438" w:type="pct"/>
                  <w:tcBorders>
                    <w:tl2br w:val="nil"/>
                    <w:tr2bl w:val="nil"/>
                  </w:tcBorders>
                  <w:vAlign w:val="center"/>
                </w:tcPr>
                <w:p w14:paraId="06F32715">
                  <w:pPr>
                    <w:pStyle w:val="51"/>
                    <w:rPr>
                      <w:color w:val="auto"/>
                    </w:rPr>
                  </w:pPr>
                  <w:r>
                    <w:rPr>
                      <w:color w:val="auto"/>
                    </w:rPr>
                    <w:t xml:space="preserve">472.11 </w:t>
                  </w:r>
                </w:p>
              </w:tc>
              <w:tc>
                <w:tcPr>
                  <w:tcW w:w="1150" w:type="pct"/>
                  <w:tcBorders>
                    <w:tl2br w:val="nil"/>
                    <w:tr2bl w:val="nil"/>
                  </w:tcBorders>
                  <w:vAlign w:val="center"/>
                </w:tcPr>
                <w:p w14:paraId="2D301DCD">
                  <w:pPr>
                    <w:pStyle w:val="51"/>
                    <w:rPr>
                      <w:color w:val="auto"/>
                    </w:rPr>
                  </w:pPr>
                  <w:r>
                    <w:rPr>
                      <w:rFonts w:hint="eastAsia"/>
                      <w:color w:val="auto"/>
                    </w:rPr>
                    <w:t>生化污泥</w:t>
                  </w:r>
                  <w:r>
                    <w:rPr>
                      <w:rFonts w:hint="eastAsia"/>
                      <w:color w:val="auto"/>
                      <w:lang w:val="en-US" w:eastAsia="zh-CN"/>
                    </w:rPr>
                    <w:t>处置</w:t>
                  </w:r>
                  <w:r>
                    <w:rPr>
                      <w:rFonts w:hint="eastAsia"/>
                      <w:color w:val="auto"/>
                    </w:rPr>
                    <w:t>前需经过鉴定，如具有危险特性，则委托有资质单位处置；如不具有危险特性，则外售综合利用</w:t>
                  </w:r>
                </w:p>
              </w:tc>
              <w:tc>
                <w:tcPr>
                  <w:tcW w:w="446" w:type="pct"/>
                  <w:tcBorders>
                    <w:tl2br w:val="nil"/>
                    <w:tr2bl w:val="nil"/>
                  </w:tcBorders>
                  <w:vAlign w:val="center"/>
                </w:tcPr>
                <w:p w14:paraId="6387ACBD">
                  <w:pPr>
                    <w:pStyle w:val="51"/>
                    <w:rPr>
                      <w:color w:val="auto"/>
                    </w:rPr>
                  </w:pPr>
                  <w:r>
                    <w:rPr>
                      <w:color w:val="auto"/>
                    </w:rPr>
                    <w:t xml:space="preserve">472.11 </w:t>
                  </w:r>
                </w:p>
              </w:tc>
            </w:tr>
            <w:tr w14:paraId="4FE5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rPr>
              <w:tc>
                <w:tcPr>
                  <w:tcW w:w="620" w:type="pct"/>
                  <w:vMerge w:val="continue"/>
                  <w:tcBorders>
                    <w:tl2br w:val="nil"/>
                    <w:tr2bl w:val="nil"/>
                  </w:tcBorders>
                  <w:vAlign w:val="center"/>
                </w:tcPr>
                <w:p w14:paraId="43D19BC3">
                  <w:pPr>
                    <w:pStyle w:val="51"/>
                    <w:rPr>
                      <w:color w:val="auto"/>
                    </w:rPr>
                  </w:pPr>
                </w:p>
              </w:tc>
              <w:tc>
                <w:tcPr>
                  <w:tcW w:w="686" w:type="pct"/>
                  <w:tcBorders>
                    <w:tl2br w:val="nil"/>
                    <w:tr2bl w:val="nil"/>
                  </w:tcBorders>
                  <w:vAlign w:val="center"/>
                </w:tcPr>
                <w:p w14:paraId="7159D2AE">
                  <w:pPr>
                    <w:pStyle w:val="51"/>
                    <w:rPr>
                      <w:color w:val="auto"/>
                    </w:rPr>
                  </w:pPr>
                  <w:r>
                    <w:rPr>
                      <w:rFonts w:hint="eastAsia"/>
                      <w:color w:val="auto"/>
                    </w:rPr>
                    <w:t>物化污泥</w:t>
                  </w:r>
                </w:p>
              </w:tc>
              <w:tc>
                <w:tcPr>
                  <w:tcW w:w="368" w:type="pct"/>
                  <w:vMerge w:val="restart"/>
                  <w:tcBorders>
                    <w:tl2br w:val="nil"/>
                    <w:tr2bl w:val="nil"/>
                  </w:tcBorders>
                  <w:vAlign w:val="center"/>
                </w:tcPr>
                <w:p w14:paraId="3912E0EF">
                  <w:pPr>
                    <w:pStyle w:val="51"/>
                    <w:rPr>
                      <w:color w:val="auto"/>
                    </w:rPr>
                  </w:pPr>
                  <w:r>
                    <w:rPr>
                      <w:rFonts w:hint="eastAsia"/>
                      <w:color w:val="auto"/>
                    </w:rPr>
                    <w:t>危险固废</w:t>
                  </w:r>
                </w:p>
              </w:tc>
              <w:tc>
                <w:tcPr>
                  <w:tcW w:w="486" w:type="pct"/>
                  <w:tcBorders>
                    <w:tl2br w:val="nil"/>
                    <w:tr2bl w:val="nil"/>
                  </w:tcBorders>
                  <w:vAlign w:val="center"/>
                </w:tcPr>
                <w:p w14:paraId="6D41116F">
                  <w:pPr>
                    <w:pStyle w:val="51"/>
                    <w:rPr>
                      <w:color w:val="auto"/>
                    </w:rPr>
                  </w:pPr>
                  <w:bookmarkStart w:id="81" w:name="_Hlk26810018"/>
                  <w:r>
                    <w:rPr>
                      <w:color w:val="auto"/>
                    </w:rPr>
                    <w:t>HW49</w:t>
                  </w:r>
                  <w:bookmarkEnd w:id="81"/>
                </w:p>
              </w:tc>
              <w:tc>
                <w:tcPr>
                  <w:tcW w:w="802" w:type="pct"/>
                  <w:tcBorders>
                    <w:tl2br w:val="nil"/>
                    <w:tr2bl w:val="nil"/>
                  </w:tcBorders>
                  <w:vAlign w:val="center"/>
                </w:tcPr>
                <w:p w14:paraId="593CA8B9">
                  <w:pPr>
                    <w:pStyle w:val="51"/>
                    <w:rPr>
                      <w:color w:val="auto"/>
                    </w:rPr>
                  </w:pPr>
                  <w:r>
                    <w:rPr>
                      <w:color w:val="auto"/>
                    </w:rPr>
                    <w:t>772-006-49</w:t>
                  </w:r>
                </w:p>
              </w:tc>
              <w:tc>
                <w:tcPr>
                  <w:tcW w:w="438" w:type="pct"/>
                  <w:tcBorders>
                    <w:tl2br w:val="nil"/>
                    <w:tr2bl w:val="nil"/>
                  </w:tcBorders>
                  <w:vAlign w:val="center"/>
                </w:tcPr>
                <w:p w14:paraId="26787DD2">
                  <w:pPr>
                    <w:pStyle w:val="51"/>
                    <w:rPr>
                      <w:color w:val="auto"/>
                    </w:rPr>
                  </w:pPr>
                  <w:r>
                    <w:rPr>
                      <w:rFonts w:hint="eastAsia"/>
                      <w:color w:val="auto"/>
                      <w:lang w:val="en-US" w:eastAsia="zh-CN"/>
                    </w:rPr>
                    <w:t>45.60</w:t>
                  </w:r>
                  <w:r>
                    <w:rPr>
                      <w:color w:val="auto"/>
                    </w:rPr>
                    <w:t xml:space="preserve"> </w:t>
                  </w:r>
                </w:p>
              </w:tc>
              <w:tc>
                <w:tcPr>
                  <w:tcW w:w="1150" w:type="pct"/>
                  <w:vMerge w:val="restart"/>
                  <w:tcBorders>
                    <w:tl2br w:val="nil"/>
                    <w:tr2bl w:val="nil"/>
                  </w:tcBorders>
                  <w:vAlign w:val="center"/>
                </w:tcPr>
                <w:p w14:paraId="1F4E1F9D">
                  <w:pPr>
                    <w:pStyle w:val="51"/>
                    <w:rPr>
                      <w:color w:val="auto"/>
                    </w:rPr>
                  </w:pPr>
                  <w:r>
                    <w:rPr>
                      <w:color w:val="auto"/>
                    </w:rPr>
                    <w:t>收集后暂存危废库，委托有资质单位处置</w:t>
                  </w:r>
                </w:p>
              </w:tc>
              <w:tc>
                <w:tcPr>
                  <w:tcW w:w="446" w:type="pct"/>
                  <w:tcBorders>
                    <w:tl2br w:val="nil"/>
                    <w:tr2bl w:val="nil"/>
                  </w:tcBorders>
                  <w:vAlign w:val="center"/>
                </w:tcPr>
                <w:p w14:paraId="000432E3">
                  <w:pPr>
                    <w:pStyle w:val="51"/>
                    <w:rPr>
                      <w:rFonts w:hint="default" w:eastAsia="宋体"/>
                      <w:color w:val="auto"/>
                      <w:lang w:val="en-US" w:eastAsia="zh-CN"/>
                    </w:rPr>
                  </w:pPr>
                  <w:r>
                    <w:rPr>
                      <w:rFonts w:hint="eastAsia"/>
                      <w:color w:val="auto"/>
                      <w:lang w:val="en-US" w:eastAsia="zh-CN"/>
                    </w:rPr>
                    <w:t>45.60</w:t>
                  </w:r>
                </w:p>
              </w:tc>
            </w:tr>
            <w:tr w14:paraId="1BA1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rPr>
              <w:tc>
                <w:tcPr>
                  <w:tcW w:w="620" w:type="pct"/>
                  <w:tcBorders>
                    <w:tl2br w:val="nil"/>
                    <w:tr2bl w:val="nil"/>
                  </w:tcBorders>
                  <w:vAlign w:val="center"/>
                </w:tcPr>
                <w:p w14:paraId="084B5BCE">
                  <w:pPr>
                    <w:pStyle w:val="51"/>
                    <w:rPr>
                      <w:color w:val="auto"/>
                    </w:rPr>
                  </w:pPr>
                  <w:r>
                    <w:rPr>
                      <w:rFonts w:hint="eastAsia"/>
                      <w:color w:val="auto"/>
                    </w:rPr>
                    <w:t>加弹废气处理</w:t>
                  </w:r>
                </w:p>
              </w:tc>
              <w:tc>
                <w:tcPr>
                  <w:tcW w:w="686" w:type="pct"/>
                  <w:tcBorders>
                    <w:tl2br w:val="nil"/>
                    <w:tr2bl w:val="nil"/>
                  </w:tcBorders>
                  <w:vAlign w:val="center"/>
                </w:tcPr>
                <w:p w14:paraId="1D1D32A3">
                  <w:pPr>
                    <w:pStyle w:val="51"/>
                    <w:rPr>
                      <w:color w:val="auto"/>
                    </w:rPr>
                  </w:pPr>
                  <w:r>
                    <w:rPr>
                      <w:rFonts w:hint="eastAsia"/>
                      <w:color w:val="auto"/>
                    </w:rPr>
                    <w:t>废加弹油</w:t>
                  </w:r>
                </w:p>
              </w:tc>
              <w:tc>
                <w:tcPr>
                  <w:tcW w:w="368" w:type="pct"/>
                  <w:vMerge w:val="continue"/>
                  <w:tcBorders>
                    <w:tl2br w:val="nil"/>
                    <w:tr2bl w:val="nil"/>
                  </w:tcBorders>
                  <w:vAlign w:val="center"/>
                </w:tcPr>
                <w:p w14:paraId="6803AB0C">
                  <w:pPr>
                    <w:pStyle w:val="51"/>
                    <w:rPr>
                      <w:color w:val="auto"/>
                    </w:rPr>
                  </w:pPr>
                </w:p>
              </w:tc>
              <w:tc>
                <w:tcPr>
                  <w:tcW w:w="486" w:type="pct"/>
                  <w:tcBorders>
                    <w:tl2br w:val="nil"/>
                    <w:tr2bl w:val="nil"/>
                  </w:tcBorders>
                  <w:vAlign w:val="center"/>
                </w:tcPr>
                <w:p w14:paraId="5DF65E19">
                  <w:pPr>
                    <w:pStyle w:val="51"/>
                    <w:rPr>
                      <w:color w:val="auto"/>
                    </w:rPr>
                  </w:pPr>
                  <w:r>
                    <w:rPr>
                      <w:color w:val="auto"/>
                    </w:rPr>
                    <w:t>HW08</w:t>
                  </w:r>
                </w:p>
              </w:tc>
              <w:tc>
                <w:tcPr>
                  <w:tcW w:w="802" w:type="pct"/>
                  <w:tcBorders>
                    <w:tl2br w:val="nil"/>
                    <w:tr2bl w:val="nil"/>
                  </w:tcBorders>
                  <w:vAlign w:val="center"/>
                </w:tcPr>
                <w:p w14:paraId="54E8D7AE">
                  <w:pPr>
                    <w:pStyle w:val="51"/>
                    <w:rPr>
                      <w:color w:val="auto"/>
                    </w:rPr>
                  </w:pPr>
                  <w:r>
                    <w:rPr>
                      <w:color w:val="auto"/>
                    </w:rPr>
                    <w:t>900-249-08</w:t>
                  </w:r>
                </w:p>
              </w:tc>
              <w:tc>
                <w:tcPr>
                  <w:tcW w:w="438" w:type="pct"/>
                  <w:tcBorders>
                    <w:tl2br w:val="nil"/>
                    <w:tr2bl w:val="nil"/>
                  </w:tcBorders>
                  <w:vAlign w:val="center"/>
                </w:tcPr>
                <w:p w14:paraId="5E469567">
                  <w:pPr>
                    <w:pStyle w:val="51"/>
                    <w:rPr>
                      <w:rFonts w:hint="default" w:eastAsia="宋体"/>
                      <w:color w:val="auto"/>
                      <w:lang w:val="en-US" w:eastAsia="zh-CN"/>
                    </w:rPr>
                  </w:pPr>
                  <w:r>
                    <w:rPr>
                      <w:rFonts w:hint="eastAsia"/>
                      <w:color w:val="auto"/>
                    </w:rPr>
                    <w:t>6</w:t>
                  </w:r>
                  <w:r>
                    <w:rPr>
                      <w:rFonts w:hint="eastAsia"/>
                      <w:color w:val="auto"/>
                      <w:lang w:val="en-US" w:eastAsia="zh-CN"/>
                    </w:rPr>
                    <w:t>.98</w:t>
                  </w:r>
                </w:p>
              </w:tc>
              <w:tc>
                <w:tcPr>
                  <w:tcW w:w="1150" w:type="pct"/>
                  <w:vMerge w:val="continue"/>
                  <w:tcBorders>
                    <w:tl2br w:val="nil"/>
                    <w:tr2bl w:val="nil"/>
                  </w:tcBorders>
                  <w:vAlign w:val="center"/>
                </w:tcPr>
                <w:p w14:paraId="239F7890">
                  <w:pPr>
                    <w:pStyle w:val="51"/>
                    <w:rPr>
                      <w:color w:val="auto"/>
                    </w:rPr>
                  </w:pPr>
                </w:p>
              </w:tc>
              <w:tc>
                <w:tcPr>
                  <w:tcW w:w="446" w:type="pct"/>
                  <w:tcBorders>
                    <w:tl2br w:val="nil"/>
                    <w:tr2bl w:val="nil"/>
                  </w:tcBorders>
                  <w:vAlign w:val="center"/>
                </w:tcPr>
                <w:p w14:paraId="6BC6743C">
                  <w:pPr>
                    <w:pStyle w:val="51"/>
                    <w:rPr>
                      <w:rFonts w:hint="default" w:eastAsia="宋体"/>
                      <w:color w:val="auto"/>
                      <w:lang w:val="en-US" w:eastAsia="zh-CN"/>
                    </w:rPr>
                  </w:pPr>
                  <w:r>
                    <w:rPr>
                      <w:rFonts w:hint="eastAsia"/>
                      <w:color w:val="auto"/>
                    </w:rPr>
                    <w:t>6.</w:t>
                  </w:r>
                  <w:r>
                    <w:rPr>
                      <w:rFonts w:hint="eastAsia"/>
                      <w:color w:val="auto"/>
                      <w:lang w:val="en-US" w:eastAsia="zh-CN"/>
                    </w:rPr>
                    <w:t>98</w:t>
                  </w:r>
                </w:p>
              </w:tc>
            </w:tr>
            <w:tr w14:paraId="53BD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rPr>
              <w:tc>
                <w:tcPr>
                  <w:tcW w:w="620" w:type="pct"/>
                  <w:tcBorders>
                    <w:tl2br w:val="nil"/>
                    <w:tr2bl w:val="nil"/>
                  </w:tcBorders>
                  <w:vAlign w:val="center"/>
                </w:tcPr>
                <w:p w14:paraId="2A69DA40">
                  <w:pPr>
                    <w:pStyle w:val="51"/>
                    <w:rPr>
                      <w:color w:val="auto"/>
                    </w:rPr>
                  </w:pPr>
                  <w:r>
                    <w:rPr>
                      <w:rFonts w:hint="eastAsia"/>
                      <w:color w:val="auto"/>
                    </w:rPr>
                    <w:t>设备维修保养</w:t>
                  </w:r>
                </w:p>
              </w:tc>
              <w:tc>
                <w:tcPr>
                  <w:tcW w:w="686" w:type="pct"/>
                  <w:tcBorders>
                    <w:tl2br w:val="nil"/>
                    <w:tr2bl w:val="nil"/>
                  </w:tcBorders>
                  <w:vAlign w:val="center"/>
                </w:tcPr>
                <w:p w14:paraId="1186F53F">
                  <w:pPr>
                    <w:pStyle w:val="51"/>
                    <w:rPr>
                      <w:color w:val="auto"/>
                    </w:rPr>
                  </w:pPr>
                  <w:r>
                    <w:rPr>
                      <w:rFonts w:hint="eastAsia"/>
                      <w:color w:val="auto"/>
                    </w:rPr>
                    <w:t>废机油</w:t>
                  </w:r>
                </w:p>
              </w:tc>
              <w:tc>
                <w:tcPr>
                  <w:tcW w:w="368" w:type="pct"/>
                  <w:vMerge w:val="continue"/>
                  <w:tcBorders>
                    <w:tl2br w:val="nil"/>
                    <w:tr2bl w:val="nil"/>
                  </w:tcBorders>
                  <w:vAlign w:val="center"/>
                </w:tcPr>
                <w:p w14:paraId="3ED346AA">
                  <w:pPr>
                    <w:pStyle w:val="51"/>
                    <w:rPr>
                      <w:color w:val="auto"/>
                    </w:rPr>
                  </w:pPr>
                </w:p>
              </w:tc>
              <w:tc>
                <w:tcPr>
                  <w:tcW w:w="486" w:type="pct"/>
                  <w:tcBorders>
                    <w:tl2br w:val="nil"/>
                    <w:tr2bl w:val="nil"/>
                  </w:tcBorders>
                  <w:vAlign w:val="center"/>
                </w:tcPr>
                <w:p w14:paraId="1FB947F5">
                  <w:pPr>
                    <w:pStyle w:val="51"/>
                    <w:rPr>
                      <w:color w:val="auto"/>
                    </w:rPr>
                  </w:pPr>
                  <w:r>
                    <w:rPr>
                      <w:color w:val="auto"/>
                    </w:rPr>
                    <w:t>HW08</w:t>
                  </w:r>
                </w:p>
              </w:tc>
              <w:tc>
                <w:tcPr>
                  <w:tcW w:w="802" w:type="pct"/>
                  <w:tcBorders>
                    <w:tl2br w:val="nil"/>
                    <w:tr2bl w:val="nil"/>
                  </w:tcBorders>
                  <w:vAlign w:val="center"/>
                </w:tcPr>
                <w:p w14:paraId="6C331A5A">
                  <w:pPr>
                    <w:pStyle w:val="51"/>
                    <w:rPr>
                      <w:color w:val="auto"/>
                    </w:rPr>
                  </w:pPr>
                  <w:r>
                    <w:rPr>
                      <w:color w:val="auto"/>
                    </w:rPr>
                    <w:t>900-214-08</w:t>
                  </w:r>
                </w:p>
              </w:tc>
              <w:tc>
                <w:tcPr>
                  <w:tcW w:w="438" w:type="pct"/>
                  <w:tcBorders>
                    <w:tl2br w:val="nil"/>
                    <w:tr2bl w:val="nil"/>
                  </w:tcBorders>
                  <w:vAlign w:val="center"/>
                </w:tcPr>
                <w:p w14:paraId="18ED8371">
                  <w:pPr>
                    <w:pStyle w:val="51"/>
                    <w:rPr>
                      <w:color w:val="auto"/>
                    </w:rPr>
                  </w:pPr>
                  <w:r>
                    <w:rPr>
                      <w:rFonts w:hint="eastAsia"/>
                      <w:color w:val="auto"/>
                    </w:rPr>
                    <w:t>2.40</w:t>
                  </w:r>
                </w:p>
              </w:tc>
              <w:tc>
                <w:tcPr>
                  <w:tcW w:w="1150" w:type="pct"/>
                  <w:vMerge w:val="continue"/>
                  <w:tcBorders>
                    <w:tl2br w:val="nil"/>
                    <w:tr2bl w:val="nil"/>
                  </w:tcBorders>
                  <w:vAlign w:val="center"/>
                </w:tcPr>
                <w:p w14:paraId="0A3E4227">
                  <w:pPr>
                    <w:pStyle w:val="51"/>
                    <w:rPr>
                      <w:color w:val="auto"/>
                    </w:rPr>
                  </w:pPr>
                </w:p>
              </w:tc>
              <w:tc>
                <w:tcPr>
                  <w:tcW w:w="446" w:type="pct"/>
                  <w:tcBorders>
                    <w:tl2br w:val="nil"/>
                    <w:tr2bl w:val="nil"/>
                  </w:tcBorders>
                  <w:vAlign w:val="center"/>
                </w:tcPr>
                <w:p w14:paraId="06B43B5E">
                  <w:pPr>
                    <w:pStyle w:val="51"/>
                    <w:rPr>
                      <w:color w:val="auto"/>
                    </w:rPr>
                  </w:pPr>
                  <w:r>
                    <w:rPr>
                      <w:rFonts w:hint="eastAsia"/>
                      <w:color w:val="auto"/>
                    </w:rPr>
                    <w:t>2.40</w:t>
                  </w:r>
                </w:p>
              </w:tc>
            </w:tr>
            <w:tr w14:paraId="47E5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trPr>
              <w:tc>
                <w:tcPr>
                  <w:tcW w:w="620" w:type="pct"/>
                  <w:tcBorders>
                    <w:tl2br w:val="nil"/>
                    <w:tr2bl w:val="nil"/>
                  </w:tcBorders>
                  <w:vAlign w:val="center"/>
                </w:tcPr>
                <w:p w14:paraId="486D1325">
                  <w:pPr>
                    <w:pStyle w:val="51"/>
                    <w:rPr>
                      <w:color w:val="auto"/>
                    </w:rPr>
                  </w:pPr>
                  <w:r>
                    <w:rPr>
                      <w:rFonts w:hint="eastAsia"/>
                      <w:color w:val="auto"/>
                    </w:rPr>
                    <w:t>设备维修保养</w:t>
                  </w:r>
                </w:p>
              </w:tc>
              <w:tc>
                <w:tcPr>
                  <w:tcW w:w="686" w:type="pct"/>
                  <w:tcBorders>
                    <w:tl2br w:val="nil"/>
                    <w:tr2bl w:val="nil"/>
                  </w:tcBorders>
                  <w:vAlign w:val="center"/>
                </w:tcPr>
                <w:p w14:paraId="6B34AFDD">
                  <w:pPr>
                    <w:pStyle w:val="51"/>
                    <w:rPr>
                      <w:color w:val="auto"/>
                    </w:rPr>
                  </w:pPr>
                  <w:r>
                    <w:rPr>
                      <w:rFonts w:hint="eastAsia"/>
                      <w:color w:val="auto"/>
                    </w:rPr>
                    <w:t>废机油桶</w:t>
                  </w:r>
                </w:p>
              </w:tc>
              <w:tc>
                <w:tcPr>
                  <w:tcW w:w="368" w:type="pct"/>
                  <w:vMerge w:val="continue"/>
                  <w:tcBorders>
                    <w:tl2br w:val="nil"/>
                    <w:tr2bl w:val="nil"/>
                  </w:tcBorders>
                  <w:vAlign w:val="center"/>
                </w:tcPr>
                <w:p w14:paraId="3CF5D4E2">
                  <w:pPr>
                    <w:pStyle w:val="51"/>
                    <w:rPr>
                      <w:color w:val="auto"/>
                    </w:rPr>
                  </w:pPr>
                </w:p>
              </w:tc>
              <w:tc>
                <w:tcPr>
                  <w:tcW w:w="486" w:type="pct"/>
                  <w:tcBorders>
                    <w:tl2br w:val="nil"/>
                    <w:tr2bl w:val="nil"/>
                  </w:tcBorders>
                  <w:vAlign w:val="center"/>
                </w:tcPr>
                <w:p w14:paraId="7C827570">
                  <w:pPr>
                    <w:pStyle w:val="51"/>
                    <w:rPr>
                      <w:color w:val="auto"/>
                    </w:rPr>
                  </w:pPr>
                  <w:r>
                    <w:rPr>
                      <w:color w:val="auto"/>
                    </w:rPr>
                    <w:t>HW08</w:t>
                  </w:r>
                </w:p>
              </w:tc>
              <w:tc>
                <w:tcPr>
                  <w:tcW w:w="802" w:type="pct"/>
                  <w:tcBorders>
                    <w:tl2br w:val="nil"/>
                    <w:tr2bl w:val="nil"/>
                  </w:tcBorders>
                  <w:vAlign w:val="center"/>
                </w:tcPr>
                <w:p w14:paraId="0025FBE6">
                  <w:pPr>
                    <w:pStyle w:val="51"/>
                    <w:rPr>
                      <w:color w:val="auto"/>
                    </w:rPr>
                  </w:pPr>
                  <w:r>
                    <w:rPr>
                      <w:color w:val="auto"/>
                    </w:rPr>
                    <w:t>900-249-08</w:t>
                  </w:r>
                </w:p>
              </w:tc>
              <w:tc>
                <w:tcPr>
                  <w:tcW w:w="438" w:type="pct"/>
                  <w:tcBorders>
                    <w:tl2br w:val="nil"/>
                    <w:tr2bl w:val="nil"/>
                  </w:tcBorders>
                  <w:vAlign w:val="center"/>
                </w:tcPr>
                <w:p w14:paraId="05FF60CF">
                  <w:pPr>
                    <w:pStyle w:val="51"/>
                    <w:rPr>
                      <w:color w:val="auto"/>
                    </w:rPr>
                  </w:pPr>
                  <w:r>
                    <w:rPr>
                      <w:rFonts w:hint="eastAsia"/>
                      <w:color w:val="auto"/>
                    </w:rPr>
                    <w:t>0.08</w:t>
                  </w:r>
                </w:p>
              </w:tc>
              <w:tc>
                <w:tcPr>
                  <w:tcW w:w="1150" w:type="pct"/>
                  <w:vMerge w:val="continue"/>
                  <w:tcBorders>
                    <w:tl2br w:val="nil"/>
                    <w:tr2bl w:val="nil"/>
                  </w:tcBorders>
                  <w:vAlign w:val="center"/>
                </w:tcPr>
                <w:p w14:paraId="042AC905">
                  <w:pPr>
                    <w:pStyle w:val="51"/>
                    <w:rPr>
                      <w:color w:val="auto"/>
                    </w:rPr>
                  </w:pPr>
                </w:p>
              </w:tc>
              <w:tc>
                <w:tcPr>
                  <w:tcW w:w="446" w:type="pct"/>
                  <w:tcBorders>
                    <w:tl2br w:val="nil"/>
                    <w:tr2bl w:val="nil"/>
                  </w:tcBorders>
                  <w:vAlign w:val="center"/>
                </w:tcPr>
                <w:p w14:paraId="3C067DBE">
                  <w:pPr>
                    <w:pStyle w:val="51"/>
                    <w:rPr>
                      <w:color w:val="auto"/>
                    </w:rPr>
                  </w:pPr>
                  <w:r>
                    <w:rPr>
                      <w:rFonts w:hint="eastAsia"/>
                      <w:color w:val="auto"/>
                    </w:rPr>
                    <w:t>0.08</w:t>
                  </w:r>
                </w:p>
              </w:tc>
            </w:tr>
            <w:tr w14:paraId="7F5F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trPr>
              <w:tc>
                <w:tcPr>
                  <w:tcW w:w="620" w:type="pct"/>
                  <w:tcBorders>
                    <w:tl2br w:val="nil"/>
                    <w:tr2bl w:val="nil"/>
                  </w:tcBorders>
                  <w:vAlign w:val="center"/>
                </w:tcPr>
                <w:p w14:paraId="1E401B32">
                  <w:pPr>
                    <w:pStyle w:val="51"/>
                    <w:rPr>
                      <w:rFonts w:hint="eastAsia" w:eastAsia="宋体"/>
                      <w:color w:val="auto"/>
                      <w:lang w:eastAsia="zh-CN"/>
                    </w:rPr>
                  </w:pPr>
                  <w:r>
                    <w:rPr>
                      <w:rFonts w:hint="eastAsia"/>
                      <w:color w:val="auto"/>
                    </w:rPr>
                    <w:t>原辅料</w:t>
                  </w:r>
                  <w:r>
                    <w:rPr>
                      <w:rFonts w:hint="eastAsia"/>
                      <w:color w:val="auto"/>
                      <w:lang w:val="en-US" w:eastAsia="zh-CN"/>
                    </w:rPr>
                    <w:t>使用</w:t>
                  </w:r>
                </w:p>
              </w:tc>
              <w:tc>
                <w:tcPr>
                  <w:tcW w:w="686" w:type="pct"/>
                  <w:tcBorders>
                    <w:tl2br w:val="nil"/>
                    <w:tr2bl w:val="nil"/>
                  </w:tcBorders>
                  <w:vAlign w:val="center"/>
                </w:tcPr>
                <w:p w14:paraId="41683B8B">
                  <w:pPr>
                    <w:pStyle w:val="51"/>
                    <w:rPr>
                      <w:color w:val="auto"/>
                    </w:rPr>
                  </w:pPr>
                  <w:r>
                    <w:rPr>
                      <w:rFonts w:hint="eastAsia"/>
                      <w:color w:val="auto"/>
                    </w:rPr>
                    <w:t>废包装材料</w:t>
                  </w:r>
                </w:p>
              </w:tc>
              <w:tc>
                <w:tcPr>
                  <w:tcW w:w="368" w:type="pct"/>
                  <w:tcBorders>
                    <w:tl2br w:val="nil"/>
                    <w:tr2bl w:val="nil"/>
                  </w:tcBorders>
                  <w:vAlign w:val="center"/>
                </w:tcPr>
                <w:p w14:paraId="641A9D80">
                  <w:pPr>
                    <w:pStyle w:val="51"/>
                    <w:rPr>
                      <w:color w:val="auto"/>
                    </w:rPr>
                  </w:pPr>
                  <w:r>
                    <w:rPr>
                      <w:rFonts w:hint="eastAsia"/>
                      <w:color w:val="auto"/>
                    </w:rPr>
                    <w:t>一般固废</w:t>
                  </w:r>
                </w:p>
              </w:tc>
              <w:tc>
                <w:tcPr>
                  <w:tcW w:w="486" w:type="pct"/>
                  <w:tcBorders>
                    <w:tl2br w:val="nil"/>
                    <w:tr2bl w:val="nil"/>
                  </w:tcBorders>
                  <w:vAlign w:val="center"/>
                </w:tcPr>
                <w:p w14:paraId="4A87D45F">
                  <w:pPr>
                    <w:pStyle w:val="51"/>
                    <w:rPr>
                      <w:color w:val="auto"/>
                    </w:rPr>
                  </w:pPr>
                  <w:r>
                    <w:rPr>
                      <w:rFonts w:hint="eastAsia"/>
                      <w:color w:val="auto"/>
                    </w:rPr>
                    <w:t>W</w:t>
                  </w:r>
                  <w:r>
                    <w:rPr>
                      <w:color w:val="auto"/>
                    </w:rPr>
                    <w:t>S17</w:t>
                  </w:r>
                </w:p>
              </w:tc>
              <w:tc>
                <w:tcPr>
                  <w:tcW w:w="802" w:type="pct"/>
                  <w:tcBorders>
                    <w:tl2br w:val="nil"/>
                    <w:tr2bl w:val="nil"/>
                  </w:tcBorders>
                  <w:vAlign w:val="center"/>
                </w:tcPr>
                <w:p w14:paraId="41C86332">
                  <w:pPr>
                    <w:pStyle w:val="51"/>
                    <w:rPr>
                      <w:color w:val="auto"/>
                    </w:rPr>
                  </w:pPr>
                  <w:r>
                    <w:rPr>
                      <w:color w:val="auto"/>
                    </w:rPr>
                    <w:t>900-005-S17</w:t>
                  </w:r>
                </w:p>
              </w:tc>
              <w:tc>
                <w:tcPr>
                  <w:tcW w:w="438" w:type="pct"/>
                  <w:tcBorders>
                    <w:tl2br w:val="nil"/>
                    <w:tr2bl w:val="nil"/>
                  </w:tcBorders>
                  <w:vAlign w:val="center"/>
                </w:tcPr>
                <w:p w14:paraId="18C5F305">
                  <w:pPr>
                    <w:pStyle w:val="51"/>
                    <w:rPr>
                      <w:rFonts w:hint="eastAsia" w:eastAsia="宋体"/>
                      <w:color w:val="auto"/>
                      <w:lang w:eastAsia="zh-CN"/>
                    </w:rPr>
                  </w:pPr>
                  <w:r>
                    <w:rPr>
                      <w:rFonts w:hint="eastAsia"/>
                      <w:color w:val="auto"/>
                      <w:lang w:val="en-US" w:eastAsia="zh-CN"/>
                    </w:rPr>
                    <w:t>6</w:t>
                  </w:r>
                </w:p>
              </w:tc>
              <w:tc>
                <w:tcPr>
                  <w:tcW w:w="1150" w:type="pct"/>
                  <w:tcBorders>
                    <w:tl2br w:val="nil"/>
                    <w:tr2bl w:val="nil"/>
                  </w:tcBorders>
                  <w:vAlign w:val="center"/>
                </w:tcPr>
                <w:p w14:paraId="4DAAD741">
                  <w:pPr>
                    <w:pStyle w:val="51"/>
                    <w:rPr>
                      <w:color w:val="auto"/>
                    </w:rPr>
                  </w:pPr>
                  <w:r>
                    <w:rPr>
                      <w:color w:val="auto"/>
                    </w:rPr>
                    <w:t>收集后暂存一般固废库，外售综合利用</w:t>
                  </w:r>
                </w:p>
              </w:tc>
              <w:tc>
                <w:tcPr>
                  <w:tcW w:w="446" w:type="pct"/>
                  <w:tcBorders>
                    <w:tl2br w:val="nil"/>
                    <w:tr2bl w:val="nil"/>
                  </w:tcBorders>
                  <w:vAlign w:val="center"/>
                </w:tcPr>
                <w:p w14:paraId="77D55C51">
                  <w:pPr>
                    <w:pStyle w:val="51"/>
                    <w:rPr>
                      <w:rFonts w:hint="eastAsia" w:eastAsia="宋体"/>
                      <w:color w:val="auto"/>
                      <w:lang w:eastAsia="zh-CN"/>
                    </w:rPr>
                  </w:pPr>
                  <w:r>
                    <w:rPr>
                      <w:rFonts w:hint="eastAsia"/>
                      <w:color w:val="auto"/>
                      <w:lang w:val="en-US" w:eastAsia="zh-CN"/>
                    </w:rPr>
                    <w:t>6</w:t>
                  </w:r>
                </w:p>
              </w:tc>
            </w:tr>
            <w:tr w14:paraId="40D2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trPr>
              <w:tc>
                <w:tcPr>
                  <w:tcW w:w="620" w:type="pct"/>
                  <w:tcBorders>
                    <w:tl2br w:val="nil"/>
                    <w:tr2bl w:val="nil"/>
                  </w:tcBorders>
                  <w:vAlign w:val="center"/>
                </w:tcPr>
                <w:p w14:paraId="32A67E5D">
                  <w:pPr>
                    <w:pStyle w:val="51"/>
                    <w:rPr>
                      <w:color w:val="auto"/>
                    </w:rPr>
                  </w:pPr>
                  <w:r>
                    <w:rPr>
                      <w:rFonts w:hint="eastAsia"/>
                      <w:color w:val="auto"/>
                    </w:rPr>
                    <w:t>职工生活</w:t>
                  </w:r>
                </w:p>
              </w:tc>
              <w:tc>
                <w:tcPr>
                  <w:tcW w:w="686" w:type="pct"/>
                  <w:tcBorders>
                    <w:tl2br w:val="nil"/>
                    <w:tr2bl w:val="nil"/>
                  </w:tcBorders>
                  <w:vAlign w:val="center"/>
                </w:tcPr>
                <w:p w14:paraId="1407877F">
                  <w:pPr>
                    <w:pStyle w:val="51"/>
                    <w:rPr>
                      <w:color w:val="auto"/>
                    </w:rPr>
                  </w:pPr>
                  <w:r>
                    <w:rPr>
                      <w:rFonts w:hint="eastAsia"/>
                      <w:color w:val="auto"/>
                    </w:rPr>
                    <w:t>生活垃圾</w:t>
                  </w:r>
                </w:p>
              </w:tc>
              <w:tc>
                <w:tcPr>
                  <w:tcW w:w="368" w:type="pct"/>
                  <w:tcBorders>
                    <w:tl2br w:val="nil"/>
                    <w:tr2bl w:val="nil"/>
                  </w:tcBorders>
                  <w:vAlign w:val="center"/>
                </w:tcPr>
                <w:p w14:paraId="2800898E">
                  <w:pPr>
                    <w:pStyle w:val="51"/>
                    <w:rPr>
                      <w:color w:val="auto"/>
                    </w:rPr>
                  </w:pPr>
                  <w:r>
                    <w:rPr>
                      <w:color w:val="auto"/>
                    </w:rPr>
                    <w:t>/</w:t>
                  </w:r>
                </w:p>
              </w:tc>
              <w:tc>
                <w:tcPr>
                  <w:tcW w:w="486" w:type="pct"/>
                  <w:tcBorders>
                    <w:tl2br w:val="nil"/>
                    <w:tr2bl w:val="nil"/>
                  </w:tcBorders>
                  <w:vAlign w:val="center"/>
                </w:tcPr>
                <w:p w14:paraId="289798AC">
                  <w:pPr>
                    <w:pStyle w:val="51"/>
                    <w:rPr>
                      <w:color w:val="auto"/>
                    </w:rPr>
                  </w:pPr>
                  <w:r>
                    <w:rPr>
                      <w:color w:val="auto"/>
                    </w:rPr>
                    <w:t>S</w:t>
                  </w:r>
                  <w:r>
                    <w:rPr>
                      <w:rFonts w:hint="eastAsia"/>
                      <w:color w:val="auto"/>
                    </w:rPr>
                    <w:t>W</w:t>
                  </w:r>
                  <w:r>
                    <w:rPr>
                      <w:color w:val="auto"/>
                    </w:rPr>
                    <w:t>64</w:t>
                  </w:r>
                </w:p>
              </w:tc>
              <w:tc>
                <w:tcPr>
                  <w:tcW w:w="802" w:type="pct"/>
                  <w:tcBorders>
                    <w:tl2br w:val="nil"/>
                    <w:tr2bl w:val="nil"/>
                  </w:tcBorders>
                  <w:vAlign w:val="center"/>
                </w:tcPr>
                <w:p w14:paraId="1DE94516">
                  <w:pPr>
                    <w:pStyle w:val="51"/>
                    <w:rPr>
                      <w:color w:val="auto"/>
                    </w:rPr>
                  </w:pPr>
                  <w:r>
                    <w:rPr>
                      <w:color w:val="auto"/>
                    </w:rPr>
                    <w:t>900-099-S64</w:t>
                  </w:r>
                </w:p>
              </w:tc>
              <w:tc>
                <w:tcPr>
                  <w:tcW w:w="438" w:type="pct"/>
                  <w:tcBorders>
                    <w:tl2br w:val="nil"/>
                    <w:tr2bl w:val="nil"/>
                  </w:tcBorders>
                  <w:vAlign w:val="center"/>
                </w:tcPr>
                <w:p w14:paraId="1A78C859">
                  <w:pPr>
                    <w:pStyle w:val="51"/>
                    <w:rPr>
                      <w:color w:val="auto"/>
                    </w:rPr>
                  </w:pPr>
                  <w:r>
                    <w:rPr>
                      <w:rFonts w:hint="eastAsia"/>
                      <w:color w:val="auto"/>
                    </w:rPr>
                    <w:t>30</w:t>
                  </w:r>
                </w:p>
              </w:tc>
              <w:tc>
                <w:tcPr>
                  <w:tcW w:w="1150" w:type="pct"/>
                  <w:tcBorders>
                    <w:tl2br w:val="nil"/>
                    <w:tr2bl w:val="nil"/>
                  </w:tcBorders>
                  <w:vAlign w:val="center"/>
                </w:tcPr>
                <w:p w14:paraId="493CEC3A">
                  <w:pPr>
                    <w:pStyle w:val="51"/>
                    <w:rPr>
                      <w:color w:val="auto"/>
                    </w:rPr>
                  </w:pPr>
                  <w:r>
                    <w:rPr>
                      <w:color w:val="auto"/>
                    </w:rPr>
                    <w:t>统一收集后，交由环卫部门处置</w:t>
                  </w:r>
                </w:p>
              </w:tc>
              <w:tc>
                <w:tcPr>
                  <w:tcW w:w="446" w:type="pct"/>
                  <w:tcBorders>
                    <w:tl2br w:val="nil"/>
                    <w:tr2bl w:val="nil"/>
                  </w:tcBorders>
                  <w:vAlign w:val="center"/>
                </w:tcPr>
                <w:p w14:paraId="4EFADED2">
                  <w:pPr>
                    <w:pStyle w:val="51"/>
                    <w:rPr>
                      <w:color w:val="auto"/>
                    </w:rPr>
                  </w:pPr>
                  <w:r>
                    <w:rPr>
                      <w:rFonts w:hint="eastAsia"/>
                      <w:color w:val="auto"/>
                    </w:rPr>
                    <w:t>30</w:t>
                  </w:r>
                </w:p>
              </w:tc>
            </w:tr>
          </w:tbl>
          <w:p w14:paraId="76633964">
            <w:pPr>
              <w:pStyle w:val="7"/>
              <w:rPr>
                <w:color w:val="auto"/>
              </w:rPr>
            </w:pPr>
            <w:bookmarkStart w:id="82" w:name="_Ref24503"/>
            <w:bookmarkStart w:id="83" w:name="_Ref18990"/>
            <w:bookmarkStart w:id="84" w:name="_Ref23821"/>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21</w:t>
            </w:r>
            <w:r>
              <w:rPr>
                <w:color w:val="auto"/>
              </w:rPr>
              <w:fldChar w:fldCharType="end"/>
            </w:r>
            <w:bookmarkEnd w:id="80"/>
            <w:bookmarkEnd w:id="82"/>
            <w:bookmarkEnd w:id="83"/>
            <w:bookmarkEnd w:id="84"/>
            <w:r>
              <w:rPr>
                <w:color w:val="auto"/>
              </w:rPr>
              <w:t xml:space="preserve"> 项目危险废物汇总表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689"/>
              <w:gridCol w:w="644"/>
              <w:gridCol w:w="1228"/>
              <w:gridCol w:w="824"/>
              <w:gridCol w:w="846"/>
              <w:gridCol w:w="687"/>
              <w:gridCol w:w="1002"/>
              <w:gridCol w:w="703"/>
              <w:gridCol w:w="682"/>
              <w:gridCol w:w="729"/>
            </w:tblGrid>
            <w:tr w14:paraId="4391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22" w:type="pct"/>
                  <w:tcBorders>
                    <w:tl2br w:val="nil"/>
                    <w:tr2bl w:val="nil"/>
                  </w:tcBorders>
                  <w:vAlign w:val="center"/>
                </w:tcPr>
                <w:p w14:paraId="1A0D8D4B">
                  <w:pPr>
                    <w:pStyle w:val="49"/>
                    <w:rPr>
                      <w:color w:val="auto"/>
                    </w:rPr>
                  </w:pPr>
                  <w:r>
                    <w:rPr>
                      <w:color w:val="auto"/>
                    </w:rPr>
                    <w:t>序号</w:t>
                  </w:r>
                </w:p>
              </w:tc>
              <w:tc>
                <w:tcPr>
                  <w:tcW w:w="409" w:type="pct"/>
                  <w:tcBorders>
                    <w:tl2br w:val="nil"/>
                    <w:tr2bl w:val="nil"/>
                  </w:tcBorders>
                  <w:vAlign w:val="center"/>
                </w:tcPr>
                <w:p w14:paraId="76CD0CF1">
                  <w:pPr>
                    <w:pStyle w:val="49"/>
                    <w:rPr>
                      <w:color w:val="auto"/>
                    </w:rPr>
                  </w:pPr>
                  <w:r>
                    <w:rPr>
                      <w:color w:val="auto"/>
                    </w:rPr>
                    <w:t>危险废物名称</w:t>
                  </w:r>
                </w:p>
              </w:tc>
              <w:tc>
                <w:tcPr>
                  <w:tcW w:w="382" w:type="pct"/>
                  <w:tcBorders>
                    <w:tl2br w:val="nil"/>
                    <w:tr2bl w:val="nil"/>
                  </w:tcBorders>
                  <w:vAlign w:val="center"/>
                </w:tcPr>
                <w:p w14:paraId="5599967E">
                  <w:pPr>
                    <w:pStyle w:val="49"/>
                    <w:rPr>
                      <w:color w:val="auto"/>
                    </w:rPr>
                  </w:pPr>
                  <w:r>
                    <w:rPr>
                      <w:color w:val="auto"/>
                    </w:rPr>
                    <w:t>废物</w:t>
                  </w:r>
                </w:p>
                <w:p w14:paraId="7737B817">
                  <w:pPr>
                    <w:pStyle w:val="49"/>
                    <w:rPr>
                      <w:color w:val="auto"/>
                    </w:rPr>
                  </w:pPr>
                  <w:r>
                    <w:rPr>
                      <w:color w:val="auto"/>
                    </w:rPr>
                    <w:t>类别</w:t>
                  </w:r>
                </w:p>
              </w:tc>
              <w:tc>
                <w:tcPr>
                  <w:tcW w:w="730" w:type="pct"/>
                  <w:tcBorders>
                    <w:tl2br w:val="nil"/>
                    <w:tr2bl w:val="nil"/>
                  </w:tcBorders>
                  <w:vAlign w:val="center"/>
                </w:tcPr>
                <w:p w14:paraId="14C8EEB4">
                  <w:pPr>
                    <w:pStyle w:val="49"/>
                    <w:rPr>
                      <w:color w:val="auto"/>
                    </w:rPr>
                  </w:pPr>
                  <w:r>
                    <w:rPr>
                      <w:color w:val="auto"/>
                    </w:rPr>
                    <w:t>废物</w:t>
                  </w:r>
                </w:p>
                <w:p w14:paraId="00A2F3BF">
                  <w:pPr>
                    <w:pStyle w:val="49"/>
                    <w:rPr>
                      <w:color w:val="auto"/>
                    </w:rPr>
                  </w:pPr>
                  <w:r>
                    <w:rPr>
                      <w:color w:val="auto"/>
                    </w:rPr>
                    <w:t>代码</w:t>
                  </w:r>
                </w:p>
              </w:tc>
              <w:tc>
                <w:tcPr>
                  <w:tcW w:w="490" w:type="pct"/>
                  <w:tcBorders>
                    <w:tl2br w:val="nil"/>
                    <w:tr2bl w:val="nil"/>
                  </w:tcBorders>
                  <w:vAlign w:val="center"/>
                </w:tcPr>
                <w:p w14:paraId="1C5229EE">
                  <w:pPr>
                    <w:pStyle w:val="49"/>
                    <w:rPr>
                      <w:color w:val="auto"/>
                    </w:rPr>
                  </w:pPr>
                  <w:r>
                    <w:rPr>
                      <w:color w:val="auto"/>
                    </w:rPr>
                    <w:t>产生量</w:t>
                  </w:r>
                </w:p>
                <w:p w14:paraId="66631B20">
                  <w:pPr>
                    <w:pStyle w:val="49"/>
                    <w:rPr>
                      <w:color w:val="auto"/>
                    </w:rPr>
                  </w:pPr>
                  <w:r>
                    <w:rPr>
                      <w:color w:val="auto"/>
                    </w:rPr>
                    <w:t>（t/a）</w:t>
                  </w:r>
                </w:p>
              </w:tc>
              <w:tc>
                <w:tcPr>
                  <w:tcW w:w="503" w:type="pct"/>
                  <w:tcBorders>
                    <w:tl2br w:val="nil"/>
                    <w:tr2bl w:val="nil"/>
                  </w:tcBorders>
                  <w:vAlign w:val="center"/>
                </w:tcPr>
                <w:p w14:paraId="5A49B367">
                  <w:pPr>
                    <w:pStyle w:val="49"/>
                    <w:rPr>
                      <w:color w:val="auto"/>
                    </w:rPr>
                  </w:pPr>
                  <w:r>
                    <w:rPr>
                      <w:color w:val="auto"/>
                    </w:rPr>
                    <w:t>产生</w:t>
                  </w:r>
                </w:p>
                <w:p w14:paraId="154B78AA">
                  <w:pPr>
                    <w:pStyle w:val="49"/>
                    <w:rPr>
                      <w:color w:val="auto"/>
                    </w:rPr>
                  </w:pPr>
                  <w:r>
                    <w:rPr>
                      <w:color w:val="auto"/>
                    </w:rPr>
                    <w:t>工序</w:t>
                  </w:r>
                </w:p>
              </w:tc>
              <w:tc>
                <w:tcPr>
                  <w:tcW w:w="408" w:type="pct"/>
                  <w:tcBorders>
                    <w:tl2br w:val="nil"/>
                    <w:tr2bl w:val="nil"/>
                  </w:tcBorders>
                  <w:vAlign w:val="center"/>
                </w:tcPr>
                <w:p w14:paraId="52E81209">
                  <w:pPr>
                    <w:pStyle w:val="49"/>
                    <w:rPr>
                      <w:color w:val="auto"/>
                    </w:rPr>
                  </w:pPr>
                  <w:r>
                    <w:rPr>
                      <w:color w:val="auto"/>
                    </w:rPr>
                    <w:t>形态</w:t>
                  </w:r>
                </w:p>
              </w:tc>
              <w:tc>
                <w:tcPr>
                  <w:tcW w:w="595" w:type="pct"/>
                  <w:tcBorders>
                    <w:tl2br w:val="nil"/>
                    <w:tr2bl w:val="nil"/>
                  </w:tcBorders>
                  <w:vAlign w:val="center"/>
                </w:tcPr>
                <w:p w14:paraId="25940976">
                  <w:pPr>
                    <w:pStyle w:val="49"/>
                    <w:rPr>
                      <w:color w:val="auto"/>
                    </w:rPr>
                  </w:pPr>
                  <w:r>
                    <w:rPr>
                      <w:color w:val="auto"/>
                    </w:rPr>
                    <w:t>有害</w:t>
                  </w:r>
                </w:p>
                <w:p w14:paraId="5674FD1C">
                  <w:pPr>
                    <w:pStyle w:val="49"/>
                    <w:rPr>
                      <w:color w:val="auto"/>
                    </w:rPr>
                  </w:pPr>
                  <w:r>
                    <w:rPr>
                      <w:color w:val="auto"/>
                    </w:rPr>
                    <w:t>成分</w:t>
                  </w:r>
                </w:p>
              </w:tc>
              <w:tc>
                <w:tcPr>
                  <w:tcW w:w="418" w:type="pct"/>
                  <w:tcBorders>
                    <w:tl2br w:val="nil"/>
                    <w:tr2bl w:val="nil"/>
                  </w:tcBorders>
                  <w:vAlign w:val="center"/>
                </w:tcPr>
                <w:p w14:paraId="5E1304F4">
                  <w:pPr>
                    <w:pStyle w:val="49"/>
                    <w:rPr>
                      <w:color w:val="auto"/>
                    </w:rPr>
                  </w:pPr>
                  <w:r>
                    <w:rPr>
                      <w:color w:val="auto"/>
                    </w:rPr>
                    <w:t>产废周期</w:t>
                  </w:r>
                </w:p>
              </w:tc>
              <w:tc>
                <w:tcPr>
                  <w:tcW w:w="405" w:type="pct"/>
                  <w:tcBorders>
                    <w:tl2br w:val="nil"/>
                    <w:tr2bl w:val="nil"/>
                  </w:tcBorders>
                  <w:vAlign w:val="center"/>
                </w:tcPr>
                <w:p w14:paraId="206E4D14">
                  <w:pPr>
                    <w:pStyle w:val="49"/>
                    <w:rPr>
                      <w:color w:val="auto"/>
                    </w:rPr>
                  </w:pPr>
                  <w:r>
                    <w:rPr>
                      <w:color w:val="auto"/>
                    </w:rPr>
                    <w:t>危险特性</w:t>
                  </w:r>
                </w:p>
              </w:tc>
              <w:tc>
                <w:tcPr>
                  <w:tcW w:w="433" w:type="pct"/>
                  <w:tcBorders>
                    <w:tl2br w:val="nil"/>
                    <w:tr2bl w:val="nil"/>
                  </w:tcBorders>
                  <w:vAlign w:val="center"/>
                </w:tcPr>
                <w:p w14:paraId="7357EEA2">
                  <w:pPr>
                    <w:pStyle w:val="49"/>
                    <w:rPr>
                      <w:color w:val="auto"/>
                    </w:rPr>
                  </w:pPr>
                  <w:r>
                    <w:rPr>
                      <w:color w:val="auto"/>
                    </w:rPr>
                    <w:t>污染防治措施</w:t>
                  </w:r>
                </w:p>
              </w:tc>
            </w:tr>
            <w:tr w14:paraId="15D8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222" w:type="pct"/>
                  <w:tcBorders>
                    <w:tl2br w:val="nil"/>
                    <w:tr2bl w:val="nil"/>
                  </w:tcBorders>
                  <w:vAlign w:val="center"/>
                </w:tcPr>
                <w:p w14:paraId="7F50627E">
                  <w:pPr>
                    <w:pStyle w:val="51"/>
                    <w:rPr>
                      <w:rFonts w:hint="eastAsia" w:eastAsia="宋体"/>
                      <w:color w:val="auto"/>
                      <w:lang w:val="en-US" w:eastAsia="zh-CN"/>
                    </w:rPr>
                  </w:pPr>
                  <w:r>
                    <w:rPr>
                      <w:rFonts w:hint="eastAsia"/>
                      <w:color w:val="auto"/>
                      <w:lang w:val="en-US" w:eastAsia="zh-CN"/>
                    </w:rPr>
                    <w:t>1</w:t>
                  </w:r>
                </w:p>
              </w:tc>
              <w:tc>
                <w:tcPr>
                  <w:tcW w:w="409" w:type="pct"/>
                  <w:tcBorders>
                    <w:tl2br w:val="nil"/>
                    <w:tr2bl w:val="nil"/>
                  </w:tcBorders>
                  <w:vAlign w:val="center"/>
                </w:tcPr>
                <w:p w14:paraId="59900580">
                  <w:pPr>
                    <w:pStyle w:val="51"/>
                    <w:rPr>
                      <w:rFonts w:hint="default" w:eastAsia="宋体"/>
                      <w:color w:val="auto"/>
                      <w:lang w:val="en-US" w:eastAsia="zh-CN"/>
                    </w:rPr>
                  </w:pPr>
                  <w:r>
                    <w:rPr>
                      <w:rFonts w:hint="eastAsia"/>
                      <w:color w:val="auto"/>
                      <w:lang w:val="en-US" w:eastAsia="zh-CN"/>
                    </w:rPr>
                    <w:t>生化污泥</w:t>
                  </w:r>
                </w:p>
              </w:tc>
              <w:tc>
                <w:tcPr>
                  <w:tcW w:w="382" w:type="pct"/>
                  <w:tcBorders>
                    <w:tl2br w:val="nil"/>
                    <w:tr2bl w:val="nil"/>
                  </w:tcBorders>
                  <w:vAlign w:val="center"/>
                </w:tcPr>
                <w:p w14:paraId="5A27802B">
                  <w:pPr>
                    <w:pStyle w:val="51"/>
                    <w:rPr>
                      <w:rFonts w:hint="eastAsia" w:eastAsia="宋体"/>
                      <w:color w:val="auto"/>
                      <w:lang w:val="en-US" w:eastAsia="zh-CN"/>
                    </w:rPr>
                  </w:pPr>
                  <w:r>
                    <w:rPr>
                      <w:rFonts w:hint="eastAsia"/>
                      <w:color w:val="auto"/>
                      <w:lang w:val="en-US" w:eastAsia="zh-CN"/>
                    </w:rPr>
                    <w:t>待鉴定</w:t>
                  </w:r>
                </w:p>
              </w:tc>
              <w:tc>
                <w:tcPr>
                  <w:tcW w:w="730" w:type="pct"/>
                  <w:tcBorders>
                    <w:tl2br w:val="nil"/>
                    <w:tr2bl w:val="nil"/>
                  </w:tcBorders>
                  <w:vAlign w:val="center"/>
                </w:tcPr>
                <w:p w14:paraId="1FE67CD0">
                  <w:pPr>
                    <w:pStyle w:val="51"/>
                    <w:rPr>
                      <w:rFonts w:hint="eastAsia" w:eastAsia="宋体"/>
                      <w:color w:val="auto"/>
                      <w:lang w:val="en-US" w:eastAsia="zh-CN"/>
                    </w:rPr>
                  </w:pPr>
                  <w:r>
                    <w:rPr>
                      <w:rFonts w:hint="eastAsia"/>
                      <w:color w:val="auto"/>
                      <w:lang w:val="en-US" w:eastAsia="zh-CN"/>
                    </w:rPr>
                    <w:t>/</w:t>
                  </w:r>
                </w:p>
              </w:tc>
              <w:tc>
                <w:tcPr>
                  <w:tcW w:w="490" w:type="pct"/>
                  <w:tcBorders>
                    <w:tl2br w:val="nil"/>
                    <w:tr2bl w:val="nil"/>
                  </w:tcBorders>
                  <w:vAlign w:val="center"/>
                </w:tcPr>
                <w:p w14:paraId="45D5CC26">
                  <w:pPr>
                    <w:pStyle w:val="51"/>
                    <w:rPr>
                      <w:rFonts w:hint="default"/>
                      <w:color w:val="auto"/>
                      <w:lang w:val="en-US" w:eastAsia="zh-CN"/>
                    </w:rPr>
                  </w:pPr>
                  <w:r>
                    <w:rPr>
                      <w:rFonts w:hint="eastAsia"/>
                      <w:color w:val="auto"/>
                      <w:lang w:val="en-US" w:eastAsia="zh-CN"/>
                    </w:rPr>
                    <w:t>472.11</w:t>
                  </w:r>
                </w:p>
              </w:tc>
              <w:tc>
                <w:tcPr>
                  <w:tcW w:w="503" w:type="pct"/>
                  <w:vMerge w:val="restart"/>
                  <w:tcBorders>
                    <w:tl2br w:val="nil"/>
                    <w:tr2bl w:val="nil"/>
                  </w:tcBorders>
                  <w:vAlign w:val="center"/>
                </w:tcPr>
                <w:p w14:paraId="0E8D2B1D">
                  <w:pPr>
                    <w:pStyle w:val="51"/>
                    <w:rPr>
                      <w:color w:val="auto"/>
                    </w:rPr>
                  </w:pPr>
                  <w:r>
                    <w:rPr>
                      <w:color w:val="auto"/>
                    </w:rPr>
                    <w:t>喷水织造废水处理</w:t>
                  </w:r>
                </w:p>
              </w:tc>
              <w:tc>
                <w:tcPr>
                  <w:tcW w:w="408" w:type="pct"/>
                  <w:tcBorders>
                    <w:tl2br w:val="nil"/>
                    <w:tr2bl w:val="nil"/>
                  </w:tcBorders>
                  <w:vAlign w:val="center"/>
                </w:tcPr>
                <w:p w14:paraId="54D02474">
                  <w:pPr>
                    <w:pStyle w:val="51"/>
                    <w:rPr>
                      <w:rFonts w:hint="eastAsia"/>
                      <w:color w:val="auto"/>
                    </w:rPr>
                  </w:pPr>
                  <w:r>
                    <w:rPr>
                      <w:rFonts w:hint="eastAsia"/>
                      <w:color w:val="auto"/>
                    </w:rPr>
                    <w:t>半固态</w:t>
                  </w:r>
                </w:p>
              </w:tc>
              <w:tc>
                <w:tcPr>
                  <w:tcW w:w="595" w:type="pct"/>
                  <w:tcBorders>
                    <w:tl2br w:val="nil"/>
                    <w:tr2bl w:val="nil"/>
                  </w:tcBorders>
                  <w:vAlign w:val="center"/>
                </w:tcPr>
                <w:p w14:paraId="2117AE06">
                  <w:pPr>
                    <w:pStyle w:val="51"/>
                    <w:rPr>
                      <w:rFonts w:hint="default" w:eastAsia="宋体"/>
                      <w:color w:val="auto"/>
                      <w:lang w:val="en-US" w:eastAsia="zh-CN"/>
                    </w:rPr>
                  </w:pPr>
                  <w:r>
                    <w:rPr>
                      <w:rFonts w:hint="eastAsia"/>
                      <w:color w:val="auto"/>
                      <w:lang w:val="en-US" w:eastAsia="zh-CN"/>
                    </w:rPr>
                    <w:t>污泥、杂质</w:t>
                  </w:r>
                </w:p>
              </w:tc>
              <w:tc>
                <w:tcPr>
                  <w:tcW w:w="418" w:type="pct"/>
                  <w:tcBorders>
                    <w:tl2br w:val="nil"/>
                    <w:tr2bl w:val="nil"/>
                  </w:tcBorders>
                  <w:vAlign w:val="center"/>
                </w:tcPr>
                <w:p w14:paraId="7D4FA7D7">
                  <w:pPr>
                    <w:pStyle w:val="51"/>
                    <w:rPr>
                      <w:rFonts w:hint="default"/>
                      <w:color w:val="auto"/>
                      <w:lang w:val="en-US" w:eastAsia="zh-CN"/>
                    </w:rPr>
                  </w:pPr>
                  <w:r>
                    <w:rPr>
                      <w:rFonts w:hint="eastAsia"/>
                      <w:color w:val="auto"/>
                      <w:lang w:val="en-US" w:eastAsia="zh-CN"/>
                    </w:rPr>
                    <w:t>1个月</w:t>
                  </w:r>
                </w:p>
              </w:tc>
              <w:tc>
                <w:tcPr>
                  <w:tcW w:w="405" w:type="pct"/>
                  <w:tcBorders>
                    <w:tl2br w:val="nil"/>
                    <w:tr2bl w:val="nil"/>
                  </w:tcBorders>
                  <w:vAlign w:val="center"/>
                </w:tcPr>
                <w:p w14:paraId="62188D61">
                  <w:pPr>
                    <w:pStyle w:val="51"/>
                    <w:rPr>
                      <w:color w:val="auto"/>
                    </w:rPr>
                  </w:pPr>
                  <w:r>
                    <w:rPr>
                      <w:color w:val="auto"/>
                    </w:rPr>
                    <w:t>T/In</w:t>
                  </w:r>
                </w:p>
              </w:tc>
              <w:tc>
                <w:tcPr>
                  <w:tcW w:w="433" w:type="pct"/>
                  <w:vMerge w:val="restart"/>
                  <w:tcBorders>
                    <w:tl2br w:val="nil"/>
                    <w:tr2bl w:val="nil"/>
                  </w:tcBorders>
                  <w:vAlign w:val="center"/>
                </w:tcPr>
                <w:p w14:paraId="77931AEA">
                  <w:pPr>
                    <w:pStyle w:val="51"/>
                    <w:rPr>
                      <w:color w:val="auto"/>
                    </w:rPr>
                  </w:pPr>
                  <w:r>
                    <w:rPr>
                      <w:rFonts w:hint="eastAsia"/>
                      <w:color w:val="auto"/>
                    </w:rPr>
                    <w:t>危废库暂存</w:t>
                  </w:r>
                  <w:r>
                    <w:rPr>
                      <w:color w:val="auto"/>
                    </w:rPr>
                    <w:t>，定期交由有资质单位处置</w:t>
                  </w:r>
                </w:p>
              </w:tc>
            </w:tr>
            <w:tr w14:paraId="61DA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222" w:type="pct"/>
                  <w:tcBorders>
                    <w:tl2br w:val="nil"/>
                    <w:tr2bl w:val="nil"/>
                  </w:tcBorders>
                  <w:vAlign w:val="center"/>
                </w:tcPr>
                <w:p w14:paraId="5DBE2FD7">
                  <w:pPr>
                    <w:pStyle w:val="51"/>
                    <w:rPr>
                      <w:color w:val="auto"/>
                    </w:rPr>
                  </w:pPr>
                  <w:r>
                    <w:rPr>
                      <w:rFonts w:hint="eastAsia"/>
                      <w:color w:val="auto"/>
                    </w:rPr>
                    <w:t>1</w:t>
                  </w:r>
                </w:p>
              </w:tc>
              <w:tc>
                <w:tcPr>
                  <w:tcW w:w="409" w:type="pct"/>
                  <w:tcBorders>
                    <w:tl2br w:val="nil"/>
                    <w:tr2bl w:val="nil"/>
                  </w:tcBorders>
                  <w:vAlign w:val="center"/>
                </w:tcPr>
                <w:p w14:paraId="25CE3113">
                  <w:pPr>
                    <w:pStyle w:val="51"/>
                    <w:rPr>
                      <w:color w:val="auto"/>
                    </w:rPr>
                  </w:pPr>
                  <w:r>
                    <w:rPr>
                      <w:rFonts w:hint="eastAsia"/>
                      <w:color w:val="auto"/>
                    </w:rPr>
                    <w:t>物化污泥</w:t>
                  </w:r>
                </w:p>
              </w:tc>
              <w:tc>
                <w:tcPr>
                  <w:tcW w:w="382" w:type="pct"/>
                  <w:tcBorders>
                    <w:tl2br w:val="nil"/>
                    <w:tr2bl w:val="nil"/>
                  </w:tcBorders>
                  <w:vAlign w:val="center"/>
                </w:tcPr>
                <w:p w14:paraId="49A0E337">
                  <w:pPr>
                    <w:pStyle w:val="51"/>
                    <w:rPr>
                      <w:color w:val="auto"/>
                    </w:rPr>
                  </w:pPr>
                  <w:r>
                    <w:rPr>
                      <w:color w:val="auto"/>
                    </w:rPr>
                    <w:t>HW49</w:t>
                  </w:r>
                </w:p>
              </w:tc>
              <w:tc>
                <w:tcPr>
                  <w:tcW w:w="730" w:type="pct"/>
                  <w:tcBorders>
                    <w:tl2br w:val="nil"/>
                    <w:tr2bl w:val="nil"/>
                  </w:tcBorders>
                  <w:vAlign w:val="center"/>
                </w:tcPr>
                <w:p w14:paraId="5D3935EC">
                  <w:pPr>
                    <w:pStyle w:val="51"/>
                    <w:rPr>
                      <w:color w:val="auto"/>
                    </w:rPr>
                  </w:pPr>
                  <w:r>
                    <w:rPr>
                      <w:color w:val="auto"/>
                    </w:rPr>
                    <w:t>772-006-49</w:t>
                  </w:r>
                </w:p>
              </w:tc>
              <w:tc>
                <w:tcPr>
                  <w:tcW w:w="490" w:type="pct"/>
                  <w:tcBorders>
                    <w:tl2br w:val="nil"/>
                    <w:tr2bl w:val="nil"/>
                  </w:tcBorders>
                  <w:vAlign w:val="center"/>
                </w:tcPr>
                <w:p w14:paraId="550C2C2F">
                  <w:pPr>
                    <w:pStyle w:val="51"/>
                    <w:rPr>
                      <w:color w:val="auto"/>
                    </w:rPr>
                  </w:pPr>
                  <w:r>
                    <w:rPr>
                      <w:rFonts w:hint="eastAsia"/>
                      <w:color w:val="auto"/>
                      <w:lang w:val="en-US" w:eastAsia="zh-CN"/>
                    </w:rPr>
                    <w:t>45.60</w:t>
                  </w:r>
                  <w:r>
                    <w:rPr>
                      <w:color w:val="auto"/>
                    </w:rPr>
                    <w:t xml:space="preserve"> </w:t>
                  </w:r>
                </w:p>
              </w:tc>
              <w:tc>
                <w:tcPr>
                  <w:tcW w:w="503" w:type="pct"/>
                  <w:vMerge w:val="continue"/>
                  <w:tcBorders>
                    <w:tl2br w:val="nil"/>
                    <w:tr2bl w:val="nil"/>
                  </w:tcBorders>
                  <w:vAlign w:val="center"/>
                </w:tcPr>
                <w:p w14:paraId="62B8CD16">
                  <w:pPr>
                    <w:pStyle w:val="51"/>
                    <w:rPr>
                      <w:color w:val="auto"/>
                    </w:rPr>
                  </w:pPr>
                </w:p>
              </w:tc>
              <w:tc>
                <w:tcPr>
                  <w:tcW w:w="408" w:type="pct"/>
                  <w:tcBorders>
                    <w:tl2br w:val="nil"/>
                    <w:tr2bl w:val="nil"/>
                  </w:tcBorders>
                  <w:vAlign w:val="center"/>
                </w:tcPr>
                <w:p w14:paraId="5D8DAA2B">
                  <w:pPr>
                    <w:pStyle w:val="51"/>
                    <w:rPr>
                      <w:color w:val="auto"/>
                    </w:rPr>
                  </w:pPr>
                  <w:r>
                    <w:rPr>
                      <w:rFonts w:hint="eastAsia"/>
                      <w:color w:val="auto"/>
                    </w:rPr>
                    <w:t>半固态</w:t>
                  </w:r>
                </w:p>
              </w:tc>
              <w:tc>
                <w:tcPr>
                  <w:tcW w:w="595" w:type="pct"/>
                  <w:tcBorders>
                    <w:tl2br w:val="nil"/>
                    <w:tr2bl w:val="nil"/>
                  </w:tcBorders>
                  <w:vAlign w:val="center"/>
                </w:tcPr>
                <w:p w14:paraId="0D4914ED">
                  <w:pPr>
                    <w:pStyle w:val="51"/>
                    <w:rPr>
                      <w:color w:val="auto"/>
                    </w:rPr>
                  </w:pPr>
                  <w:r>
                    <w:rPr>
                      <w:rFonts w:hint="eastAsia"/>
                      <w:color w:val="auto"/>
                    </w:rPr>
                    <w:t>浮油、浮渣、油泥</w:t>
                  </w:r>
                </w:p>
              </w:tc>
              <w:tc>
                <w:tcPr>
                  <w:tcW w:w="418" w:type="pct"/>
                  <w:tcBorders>
                    <w:tl2br w:val="nil"/>
                    <w:tr2bl w:val="nil"/>
                  </w:tcBorders>
                  <w:vAlign w:val="center"/>
                </w:tcPr>
                <w:p w14:paraId="646D1F1D">
                  <w:pPr>
                    <w:pStyle w:val="51"/>
                    <w:rPr>
                      <w:color w:val="auto"/>
                    </w:rPr>
                  </w:pPr>
                  <w:r>
                    <w:rPr>
                      <w:rFonts w:hint="eastAsia"/>
                      <w:color w:val="auto"/>
                      <w:lang w:val="en-US" w:eastAsia="zh-CN"/>
                    </w:rPr>
                    <w:t>1</w:t>
                  </w:r>
                  <w:r>
                    <w:rPr>
                      <w:rFonts w:hint="eastAsia"/>
                      <w:color w:val="auto"/>
                    </w:rPr>
                    <w:t>个月</w:t>
                  </w:r>
                </w:p>
              </w:tc>
              <w:tc>
                <w:tcPr>
                  <w:tcW w:w="405" w:type="pct"/>
                  <w:tcBorders>
                    <w:tl2br w:val="nil"/>
                    <w:tr2bl w:val="nil"/>
                  </w:tcBorders>
                  <w:vAlign w:val="center"/>
                </w:tcPr>
                <w:p w14:paraId="6F66207C">
                  <w:pPr>
                    <w:pStyle w:val="51"/>
                    <w:rPr>
                      <w:color w:val="auto"/>
                    </w:rPr>
                  </w:pPr>
                  <w:r>
                    <w:rPr>
                      <w:color w:val="auto"/>
                    </w:rPr>
                    <w:t>T/In</w:t>
                  </w:r>
                </w:p>
              </w:tc>
              <w:tc>
                <w:tcPr>
                  <w:tcW w:w="433" w:type="pct"/>
                  <w:vMerge w:val="continue"/>
                  <w:tcBorders>
                    <w:tl2br w:val="nil"/>
                    <w:tr2bl w:val="nil"/>
                  </w:tcBorders>
                  <w:vAlign w:val="center"/>
                </w:tcPr>
                <w:p w14:paraId="44225275">
                  <w:pPr>
                    <w:pStyle w:val="51"/>
                    <w:rPr>
                      <w:color w:val="auto"/>
                    </w:rPr>
                  </w:pPr>
                </w:p>
              </w:tc>
            </w:tr>
            <w:tr w14:paraId="0F45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222" w:type="pct"/>
                  <w:tcBorders>
                    <w:tl2br w:val="nil"/>
                    <w:tr2bl w:val="nil"/>
                  </w:tcBorders>
                  <w:vAlign w:val="center"/>
                </w:tcPr>
                <w:p w14:paraId="75CF6A74">
                  <w:pPr>
                    <w:pStyle w:val="51"/>
                    <w:rPr>
                      <w:color w:val="auto"/>
                    </w:rPr>
                  </w:pPr>
                  <w:r>
                    <w:rPr>
                      <w:rFonts w:hint="eastAsia"/>
                      <w:color w:val="auto"/>
                    </w:rPr>
                    <w:t>2</w:t>
                  </w:r>
                </w:p>
              </w:tc>
              <w:tc>
                <w:tcPr>
                  <w:tcW w:w="409" w:type="pct"/>
                  <w:tcBorders>
                    <w:tl2br w:val="nil"/>
                    <w:tr2bl w:val="nil"/>
                  </w:tcBorders>
                  <w:vAlign w:val="center"/>
                </w:tcPr>
                <w:p w14:paraId="57B6F846">
                  <w:pPr>
                    <w:pStyle w:val="51"/>
                    <w:rPr>
                      <w:color w:val="auto"/>
                    </w:rPr>
                  </w:pPr>
                  <w:r>
                    <w:rPr>
                      <w:rFonts w:hint="eastAsia"/>
                      <w:color w:val="auto"/>
                    </w:rPr>
                    <w:t>废加弹油</w:t>
                  </w:r>
                </w:p>
              </w:tc>
              <w:tc>
                <w:tcPr>
                  <w:tcW w:w="382" w:type="pct"/>
                  <w:tcBorders>
                    <w:tl2br w:val="nil"/>
                    <w:tr2bl w:val="nil"/>
                  </w:tcBorders>
                  <w:vAlign w:val="center"/>
                </w:tcPr>
                <w:p w14:paraId="43C24BFF">
                  <w:pPr>
                    <w:pStyle w:val="51"/>
                    <w:rPr>
                      <w:color w:val="auto"/>
                    </w:rPr>
                  </w:pPr>
                  <w:r>
                    <w:rPr>
                      <w:color w:val="auto"/>
                    </w:rPr>
                    <w:t>HW08</w:t>
                  </w:r>
                </w:p>
              </w:tc>
              <w:tc>
                <w:tcPr>
                  <w:tcW w:w="730" w:type="pct"/>
                  <w:tcBorders>
                    <w:tl2br w:val="nil"/>
                    <w:tr2bl w:val="nil"/>
                  </w:tcBorders>
                  <w:vAlign w:val="center"/>
                </w:tcPr>
                <w:p w14:paraId="387BC44E">
                  <w:pPr>
                    <w:pStyle w:val="51"/>
                    <w:rPr>
                      <w:color w:val="auto"/>
                    </w:rPr>
                  </w:pPr>
                  <w:r>
                    <w:rPr>
                      <w:color w:val="auto"/>
                    </w:rPr>
                    <w:t>900-249-08</w:t>
                  </w:r>
                </w:p>
              </w:tc>
              <w:tc>
                <w:tcPr>
                  <w:tcW w:w="490" w:type="pct"/>
                  <w:tcBorders>
                    <w:tl2br w:val="nil"/>
                    <w:tr2bl w:val="nil"/>
                  </w:tcBorders>
                  <w:vAlign w:val="center"/>
                </w:tcPr>
                <w:p w14:paraId="579AC740">
                  <w:pPr>
                    <w:pStyle w:val="51"/>
                    <w:rPr>
                      <w:rFonts w:hint="eastAsia" w:eastAsia="宋体"/>
                      <w:color w:val="auto"/>
                      <w:lang w:eastAsia="zh-CN"/>
                    </w:rPr>
                  </w:pPr>
                  <w:r>
                    <w:rPr>
                      <w:rFonts w:hint="eastAsia"/>
                      <w:color w:val="auto"/>
                    </w:rPr>
                    <w:t>6.9</w:t>
                  </w:r>
                  <w:r>
                    <w:rPr>
                      <w:rFonts w:hint="eastAsia"/>
                      <w:color w:val="auto"/>
                      <w:lang w:val="en-US" w:eastAsia="zh-CN"/>
                    </w:rPr>
                    <w:t>8</w:t>
                  </w:r>
                </w:p>
              </w:tc>
              <w:tc>
                <w:tcPr>
                  <w:tcW w:w="503" w:type="pct"/>
                  <w:tcBorders>
                    <w:tl2br w:val="nil"/>
                    <w:tr2bl w:val="nil"/>
                  </w:tcBorders>
                  <w:vAlign w:val="center"/>
                </w:tcPr>
                <w:p w14:paraId="394E6879">
                  <w:pPr>
                    <w:pStyle w:val="51"/>
                    <w:rPr>
                      <w:color w:val="auto"/>
                    </w:rPr>
                  </w:pPr>
                  <w:r>
                    <w:rPr>
                      <w:color w:val="auto"/>
                    </w:rPr>
                    <w:t>加弹废气处理</w:t>
                  </w:r>
                </w:p>
              </w:tc>
              <w:tc>
                <w:tcPr>
                  <w:tcW w:w="408" w:type="pct"/>
                  <w:tcBorders>
                    <w:tl2br w:val="nil"/>
                    <w:tr2bl w:val="nil"/>
                  </w:tcBorders>
                  <w:vAlign w:val="center"/>
                </w:tcPr>
                <w:p w14:paraId="40EBB41D">
                  <w:pPr>
                    <w:pStyle w:val="51"/>
                    <w:rPr>
                      <w:color w:val="auto"/>
                    </w:rPr>
                  </w:pPr>
                  <w:r>
                    <w:rPr>
                      <w:rFonts w:hint="eastAsia"/>
                      <w:color w:val="auto"/>
                    </w:rPr>
                    <w:t>液态</w:t>
                  </w:r>
                </w:p>
              </w:tc>
              <w:tc>
                <w:tcPr>
                  <w:tcW w:w="595" w:type="pct"/>
                  <w:tcBorders>
                    <w:tl2br w:val="nil"/>
                    <w:tr2bl w:val="nil"/>
                  </w:tcBorders>
                  <w:vAlign w:val="center"/>
                </w:tcPr>
                <w:p w14:paraId="7529891E">
                  <w:pPr>
                    <w:pStyle w:val="51"/>
                    <w:rPr>
                      <w:color w:val="auto"/>
                    </w:rPr>
                  </w:pPr>
                  <w:r>
                    <w:rPr>
                      <w:rFonts w:hint="eastAsia"/>
                      <w:color w:val="auto"/>
                    </w:rPr>
                    <w:t>矿物油</w:t>
                  </w:r>
                </w:p>
              </w:tc>
              <w:tc>
                <w:tcPr>
                  <w:tcW w:w="418" w:type="pct"/>
                  <w:tcBorders>
                    <w:tl2br w:val="nil"/>
                    <w:tr2bl w:val="nil"/>
                  </w:tcBorders>
                  <w:vAlign w:val="center"/>
                </w:tcPr>
                <w:p w14:paraId="125499C3">
                  <w:pPr>
                    <w:pStyle w:val="51"/>
                    <w:rPr>
                      <w:color w:val="auto"/>
                    </w:rPr>
                  </w:pPr>
                  <w:r>
                    <w:rPr>
                      <w:rFonts w:hint="eastAsia"/>
                      <w:color w:val="auto"/>
                    </w:rPr>
                    <w:t>3个月</w:t>
                  </w:r>
                </w:p>
              </w:tc>
              <w:tc>
                <w:tcPr>
                  <w:tcW w:w="405" w:type="pct"/>
                  <w:tcBorders>
                    <w:tl2br w:val="nil"/>
                    <w:tr2bl w:val="nil"/>
                  </w:tcBorders>
                  <w:vAlign w:val="center"/>
                </w:tcPr>
                <w:p w14:paraId="0D6EF691">
                  <w:pPr>
                    <w:pStyle w:val="51"/>
                    <w:rPr>
                      <w:color w:val="auto"/>
                    </w:rPr>
                  </w:pPr>
                  <w:r>
                    <w:rPr>
                      <w:color w:val="auto"/>
                    </w:rPr>
                    <w:t>T，I</w:t>
                  </w:r>
                </w:p>
              </w:tc>
              <w:tc>
                <w:tcPr>
                  <w:tcW w:w="433" w:type="pct"/>
                  <w:vMerge w:val="continue"/>
                  <w:tcBorders>
                    <w:tl2br w:val="nil"/>
                    <w:tr2bl w:val="nil"/>
                  </w:tcBorders>
                  <w:vAlign w:val="center"/>
                </w:tcPr>
                <w:p w14:paraId="4050DAE3">
                  <w:pPr>
                    <w:rPr>
                      <w:color w:val="auto"/>
                    </w:rPr>
                  </w:pPr>
                </w:p>
              </w:tc>
            </w:tr>
            <w:tr w14:paraId="2A49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222" w:type="pct"/>
                  <w:tcBorders>
                    <w:tl2br w:val="nil"/>
                    <w:tr2bl w:val="nil"/>
                  </w:tcBorders>
                  <w:vAlign w:val="center"/>
                </w:tcPr>
                <w:p w14:paraId="2AA695EB">
                  <w:pPr>
                    <w:pStyle w:val="51"/>
                    <w:rPr>
                      <w:color w:val="auto"/>
                    </w:rPr>
                  </w:pPr>
                  <w:r>
                    <w:rPr>
                      <w:rFonts w:hint="eastAsia"/>
                      <w:color w:val="auto"/>
                    </w:rPr>
                    <w:t>3</w:t>
                  </w:r>
                </w:p>
              </w:tc>
              <w:tc>
                <w:tcPr>
                  <w:tcW w:w="409" w:type="pct"/>
                  <w:tcBorders>
                    <w:tl2br w:val="nil"/>
                    <w:tr2bl w:val="nil"/>
                  </w:tcBorders>
                  <w:vAlign w:val="center"/>
                </w:tcPr>
                <w:p w14:paraId="39A88655">
                  <w:pPr>
                    <w:pStyle w:val="51"/>
                    <w:rPr>
                      <w:color w:val="auto"/>
                    </w:rPr>
                  </w:pPr>
                  <w:r>
                    <w:rPr>
                      <w:rFonts w:hint="eastAsia"/>
                      <w:color w:val="auto"/>
                    </w:rPr>
                    <w:t>废机油</w:t>
                  </w:r>
                </w:p>
              </w:tc>
              <w:tc>
                <w:tcPr>
                  <w:tcW w:w="382" w:type="pct"/>
                  <w:tcBorders>
                    <w:tl2br w:val="nil"/>
                    <w:tr2bl w:val="nil"/>
                  </w:tcBorders>
                  <w:vAlign w:val="center"/>
                </w:tcPr>
                <w:p w14:paraId="1E536722">
                  <w:pPr>
                    <w:pStyle w:val="51"/>
                    <w:rPr>
                      <w:color w:val="auto"/>
                    </w:rPr>
                  </w:pPr>
                  <w:r>
                    <w:rPr>
                      <w:color w:val="auto"/>
                    </w:rPr>
                    <w:t>HW08</w:t>
                  </w:r>
                </w:p>
              </w:tc>
              <w:tc>
                <w:tcPr>
                  <w:tcW w:w="730" w:type="pct"/>
                  <w:tcBorders>
                    <w:tl2br w:val="nil"/>
                    <w:tr2bl w:val="nil"/>
                  </w:tcBorders>
                  <w:vAlign w:val="center"/>
                </w:tcPr>
                <w:p w14:paraId="68044CBE">
                  <w:pPr>
                    <w:pStyle w:val="51"/>
                    <w:rPr>
                      <w:color w:val="auto"/>
                    </w:rPr>
                  </w:pPr>
                  <w:r>
                    <w:rPr>
                      <w:color w:val="auto"/>
                    </w:rPr>
                    <w:t>900-214-08</w:t>
                  </w:r>
                </w:p>
              </w:tc>
              <w:tc>
                <w:tcPr>
                  <w:tcW w:w="490" w:type="pct"/>
                  <w:tcBorders>
                    <w:tl2br w:val="nil"/>
                    <w:tr2bl w:val="nil"/>
                  </w:tcBorders>
                  <w:vAlign w:val="center"/>
                </w:tcPr>
                <w:p w14:paraId="6C8BEEDC">
                  <w:pPr>
                    <w:pStyle w:val="51"/>
                    <w:rPr>
                      <w:color w:val="auto"/>
                    </w:rPr>
                  </w:pPr>
                  <w:r>
                    <w:rPr>
                      <w:rFonts w:hint="eastAsia"/>
                      <w:color w:val="auto"/>
                    </w:rPr>
                    <w:t>2.40</w:t>
                  </w:r>
                </w:p>
              </w:tc>
              <w:tc>
                <w:tcPr>
                  <w:tcW w:w="503" w:type="pct"/>
                  <w:vMerge w:val="restart"/>
                  <w:tcBorders>
                    <w:tl2br w:val="nil"/>
                    <w:tr2bl w:val="nil"/>
                  </w:tcBorders>
                  <w:vAlign w:val="center"/>
                </w:tcPr>
                <w:p w14:paraId="4D2584AE">
                  <w:pPr>
                    <w:pStyle w:val="51"/>
                    <w:rPr>
                      <w:color w:val="auto"/>
                    </w:rPr>
                  </w:pPr>
                  <w:r>
                    <w:rPr>
                      <w:color w:val="auto"/>
                    </w:rPr>
                    <w:t>设备维修保养</w:t>
                  </w:r>
                </w:p>
              </w:tc>
              <w:tc>
                <w:tcPr>
                  <w:tcW w:w="408" w:type="pct"/>
                  <w:tcBorders>
                    <w:tl2br w:val="nil"/>
                    <w:tr2bl w:val="nil"/>
                  </w:tcBorders>
                  <w:vAlign w:val="center"/>
                </w:tcPr>
                <w:p w14:paraId="386AD9B3">
                  <w:pPr>
                    <w:pStyle w:val="51"/>
                    <w:rPr>
                      <w:color w:val="auto"/>
                    </w:rPr>
                  </w:pPr>
                  <w:r>
                    <w:rPr>
                      <w:rFonts w:hint="eastAsia"/>
                      <w:color w:val="auto"/>
                    </w:rPr>
                    <w:t>液态</w:t>
                  </w:r>
                </w:p>
              </w:tc>
              <w:tc>
                <w:tcPr>
                  <w:tcW w:w="595" w:type="pct"/>
                  <w:tcBorders>
                    <w:tl2br w:val="nil"/>
                    <w:tr2bl w:val="nil"/>
                  </w:tcBorders>
                  <w:vAlign w:val="center"/>
                </w:tcPr>
                <w:p w14:paraId="28474FC1">
                  <w:pPr>
                    <w:pStyle w:val="51"/>
                    <w:rPr>
                      <w:color w:val="auto"/>
                    </w:rPr>
                  </w:pPr>
                  <w:r>
                    <w:rPr>
                      <w:rFonts w:hint="eastAsia"/>
                      <w:color w:val="auto"/>
                    </w:rPr>
                    <w:t>矿物油</w:t>
                  </w:r>
                </w:p>
              </w:tc>
              <w:tc>
                <w:tcPr>
                  <w:tcW w:w="418" w:type="pct"/>
                  <w:tcBorders>
                    <w:tl2br w:val="nil"/>
                    <w:tr2bl w:val="nil"/>
                  </w:tcBorders>
                  <w:vAlign w:val="center"/>
                </w:tcPr>
                <w:p w14:paraId="313F5CB4">
                  <w:pPr>
                    <w:pStyle w:val="51"/>
                    <w:rPr>
                      <w:color w:val="auto"/>
                    </w:rPr>
                  </w:pPr>
                  <w:r>
                    <w:rPr>
                      <w:rFonts w:hint="eastAsia"/>
                      <w:color w:val="auto"/>
                    </w:rPr>
                    <w:t>12个月</w:t>
                  </w:r>
                </w:p>
              </w:tc>
              <w:tc>
                <w:tcPr>
                  <w:tcW w:w="405" w:type="pct"/>
                  <w:tcBorders>
                    <w:tl2br w:val="nil"/>
                    <w:tr2bl w:val="nil"/>
                  </w:tcBorders>
                  <w:vAlign w:val="center"/>
                </w:tcPr>
                <w:p w14:paraId="47891C50">
                  <w:pPr>
                    <w:pStyle w:val="51"/>
                    <w:rPr>
                      <w:color w:val="auto"/>
                    </w:rPr>
                  </w:pPr>
                  <w:r>
                    <w:rPr>
                      <w:color w:val="auto"/>
                    </w:rPr>
                    <w:t>T，I</w:t>
                  </w:r>
                </w:p>
              </w:tc>
              <w:tc>
                <w:tcPr>
                  <w:tcW w:w="433" w:type="pct"/>
                  <w:vMerge w:val="continue"/>
                  <w:tcBorders>
                    <w:tl2br w:val="nil"/>
                    <w:tr2bl w:val="nil"/>
                  </w:tcBorders>
                  <w:vAlign w:val="center"/>
                </w:tcPr>
                <w:p w14:paraId="4B4D54FF">
                  <w:pPr>
                    <w:rPr>
                      <w:color w:val="auto"/>
                    </w:rPr>
                  </w:pPr>
                </w:p>
              </w:tc>
            </w:tr>
            <w:tr w14:paraId="5E6E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222" w:type="pct"/>
                  <w:tcBorders>
                    <w:tl2br w:val="nil"/>
                    <w:tr2bl w:val="nil"/>
                  </w:tcBorders>
                  <w:vAlign w:val="center"/>
                </w:tcPr>
                <w:p w14:paraId="319F9079">
                  <w:pPr>
                    <w:pStyle w:val="51"/>
                    <w:rPr>
                      <w:color w:val="auto"/>
                    </w:rPr>
                  </w:pPr>
                  <w:r>
                    <w:rPr>
                      <w:rFonts w:hint="eastAsia"/>
                      <w:color w:val="auto"/>
                    </w:rPr>
                    <w:t>4</w:t>
                  </w:r>
                </w:p>
              </w:tc>
              <w:tc>
                <w:tcPr>
                  <w:tcW w:w="409" w:type="pct"/>
                  <w:tcBorders>
                    <w:tl2br w:val="nil"/>
                    <w:tr2bl w:val="nil"/>
                  </w:tcBorders>
                  <w:vAlign w:val="center"/>
                </w:tcPr>
                <w:p w14:paraId="0B066BD3">
                  <w:pPr>
                    <w:pStyle w:val="51"/>
                    <w:rPr>
                      <w:color w:val="auto"/>
                    </w:rPr>
                  </w:pPr>
                  <w:r>
                    <w:rPr>
                      <w:rFonts w:hint="eastAsia"/>
                      <w:color w:val="auto"/>
                    </w:rPr>
                    <w:t>废机油桶</w:t>
                  </w:r>
                </w:p>
              </w:tc>
              <w:tc>
                <w:tcPr>
                  <w:tcW w:w="382" w:type="pct"/>
                  <w:tcBorders>
                    <w:tl2br w:val="nil"/>
                    <w:tr2bl w:val="nil"/>
                  </w:tcBorders>
                  <w:vAlign w:val="center"/>
                </w:tcPr>
                <w:p w14:paraId="758DF2AE">
                  <w:pPr>
                    <w:pStyle w:val="51"/>
                    <w:rPr>
                      <w:color w:val="auto"/>
                    </w:rPr>
                  </w:pPr>
                  <w:r>
                    <w:rPr>
                      <w:color w:val="auto"/>
                    </w:rPr>
                    <w:t>HW08</w:t>
                  </w:r>
                </w:p>
              </w:tc>
              <w:tc>
                <w:tcPr>
                  <w:tcW w:w="730" w:type="pct"/>
                  <w:tcBorders>
                    <w:tl2br w:val="nil"/>
                    <w:tr2bl w:val="nil"/>
                  </w:tcBorders>
                  <w:vAlign w:val="center"/>
                </w:tcPr>
                <w:p w14:paraId="46093AC4">
                  <w:pPr>
                    <w:pStyle w:val="51"/>
                    <w:rPr>
                      <w:color w:val="auto"/>
                    </w:rPr>
                  </w:pPr>
                  <w:r>
                    <w:rPr>
                      <w:color w:val="auto"/>
                    </w:rPr>
                    <w:t>900-249-08</w:t>
                  </w:r>
                </w:p>
              </w:tc>
              <w:tc>
                <w:tcPr>
                  <w:tcW w:w="490" w:type="pct"/>
                  <w:tcBorders>
                    <w:tl2br w:val="nil"/>
                    <w:tr2bl w:val="nil"/>
                  </w:tcBorders>
                  <w:vAlign w:val="center"/>
                </w:tcPr>
                <w:p w14:paraId="3550BAA1">
                  <w:pPr>
                    <w:pStyle w:val="51"/>
                    <w:rPr>
                      <w:color w:val="auto"/>
                    </w:rPr>
                  </w:pPr>
                  <w:r>
                    <w:rPr>
                      <w:rFonts w:hint="eastAsia"/>
                      <w:color w:val="auto"/>
                    </w:rPr>
                    <w:t>0.08</w:t>
                  </w:r>
                </w:p>
              </w:tc>
              <w:tc>
                <w:tcPr>
                  <w:tcW w:w="503" w:type="pct"/>
                  <w:vMerge w:val="continue"/>
                  <w:tcBorders>
                    <w:tl2br w:val="nil"/>
                    <w:tr2bl w:val="nil"/>
                  </w:tcBorders>
                  <w:vAlign w:val="center"/>
                </w:tcPr>
                <w:p w14:paraId="19C2CAE8">
                  <w:pPr>
                    <w:pStyle w:val="51"/>
                    <w:rPr>
                      <w:color w:val="auto"/>
                    </w:rPr>
                  </w:pPr>
                </w:p>
              </w:tc>
              <w:tc>
                <w:tcPr>
                  <w:tcW w:w="408" w:type="pct"/>
                  <w:tcBorders>
                    <w:tl2br w:val="nil"/>
                    <w:tr2bl w:val="nil"/>
                  </w:tcBorders>
                  <w:vAlign w:val="center"/>
                </w:tcPr>
                <w:p w14:paraId="4B83430A">
                  <w:pPr>
                    <w:pStyle w:val="51"/>
                    <w:rPr>
                      <w:color w:val="auto"/>
                    </w:rPr>
                  </w:pPr>
                  <w:r>
                    <w:rPr>
                      <w:rFonts w:hint="eastAsia"/>
                      <w:color w:val="auto"/>
                    </w:rPr>
                    <w:t>固态</w:t>
                  </w:r>
                </w:p>
              </w:tc>
              <w:tc>
                <w:tcPr>
                  <w:tcW w:w="595" w:type="pct"/>
                  <w:tcBorders>
                    <w:tl2br w:val="nil"/>
                    <w:tr2bl w:val="nil"/>
                  </w:tcBorders>
                  <w:vAlign w:val="center"/>
                </w:tcPr>
                <w:p w14:paraId="647AB76C">
                  <w:pPr>
                    <w:pStyle w:val="51"/>
                    <w:rPr>
                      <w:color w:val="auto"/>
                    </w:rPr>
                  </w:pPr>
                  <w:r>
                    <w:rPr>
                      <w:rFonts w:hint="eastAsia"/>
                      <w:color w:val="auto"/>
                    </w:rPr>
                    <w:t>矿物油</w:t>
                  </w:r>
                </w:p>
              </w:tc>
              <w:tc>
                <w:tcPr>
                  <w:tcW w:w="418" w:type="pct"/>
                  <w:tcBorders>
                    <w:tl2br w:val="nil"/>
                    <w:tr2bl w:val="nil"/>
                  </w:tcBorders>
                  <w:vAlign w:val="center"/>
                </w:tcPr>
                <w:p w14:paraId="18FED2A5">
                  <w:pPr>
                    <w:pStyle w:val="51"/>
                    <w:rPr>
                      <w:color w:val="auto"/>
                    </w:rPr>
                  </w:pPr>
                  <w:r>
                    <w:rPr>
                      <w:rFonts w:hint="eastAsia"/>
                      <w:color w:val="auto"/>
                    </w:rPr>
                    <w:t>12个月</w:t>
                  </w:r>
                </w:p>
              </w:tc>
              <w:tc>
                <w:tcPr>
                  <w:tcW w:w="405" w:type="pct"/>
                  <w:tcBorders>
                    <w:tl2br w:val="nil"/>
                    <w:tr2bl w:val="nil"/>
                  </w:tcBorders>
                  <w:vAlign w:val="center"/>
                </w:tcPr>
                <w:p w14:paraId="39E95D28">
                  <w:pPr>
                    <w:pStyle w:val="51"/>
                    <w:rPr>
                      <w:color w:val="auto"/>
                    </w:rPr>
                  </w:pPr>
                  <w:r>
                    <w:rPr>
                      <w:color w:val="auto"/>
                    </w:rPr>
                    <w:t>T，I</w:t>
                  </w:r>
                </w:p>
              </w:tc>
              <w:tc>
                <w:tcPr>
                  <w:tcW w:w="433" w:type="pct"/>
                  <w:vMerge w:val="continue"/>
                  <w:tcBorders>
                    <w:tl2br w:val="nil"/>
                    <w:tr2bl w:val="nil"/>
                  </w:tcBorders>
                  <w:vAlign w:val="center"/>
                </w:tcPr>
                <w:p w14:paraId="16B0FAAE">
                  <w:pPr>
                    <w:rPr>
                      <w:color w:val="auto"/>
                    </w:rPr>
                  </w:pPr>
                </w:p>
              </w:tc>
            </w:tr>
          </w:tbl>
          <w:p w14:paraId="732EC0D2">
            <w:pPr>
              <w:pStyle w:val="47"/>
              <w:ind w:firstLine="482"/>
              <w:rPr>
                <w:b/>
                <w:bCs/>
                <w:color w:val="auto"/>
              </w:rPr>
            </w:pPr>
            <w:r>
              <w:rPr>
                <w:b/>
                <w:bCs/>
                <w:color w:val="auto"/>
              </w:rPr>
              <w:t>（2）固废影响分析</w:t>
            </w:r>
          </w:p>
          <w:p w14:paraId="0D33D82D">
            <w:pPr>
              <w:pStyle w:val="47"/>
              <w:ind w:firstLine="482"/>
              <w:rPr>
                <w:b/>
                <w:bCs/>
                <w:color w:val="auto"/>
              </w:rPr>
            </w:pPr>
            <w:r>
              <w:rPr>
                <w:b/>
                <w:bCs/>
                <w:color w:val="auto"/>
              </w:rPr>
              <w:t>①生活垃圾</w:t>
            </w:r>
          </w:p>
          <w:p w14:paraId="637BE7B2">
            <w:pPr>
              <w:pStyle w:val="47"/>
              <w:ind w:firstLine="480"/>
              <w:rPr>
                <w:color w:val="auto"/>
              </w:rPr>
            </w:pPr>
            <w:r>
              <w:rPr>
                <w:color w:val="auto"/>
              </w:rPr>
              <w:t>本项目内生活垃圾经过员工集中收集后，交由当地环卫部门统一清运。</w:t>
            </w:r>
          </w:p>
          <w:p w14:paraId="3D09F4F6">
            <w:pPr>
              <w:pStyle w:val="47"/>
              <w:ind w:firstLine="482"/>
              <w:rPr>
                <w:b/>
                <w:bCs/>
                <w:color w:val="auto"/>
              </w:rPr>
            </w:pPr>
            <w:r>
              <w:rPr>
                <w:b/>
                <w:bCs/>
                <w:color w:val="auto"/>
              </w:rPr>
              <w:t>②一般固废库</w:t>
            </w:r>
          </w:p>
          <w:p w14:paraId="1B0C1C3A">
            <w:pPr>
              <w:pStyle w:val="47"/>
              <w:ind w:firstLine="480"/>
              <w:rPr>
                <w:color w:val="auto"/>
              </w:rPr>
            </w:pPr>
            <w:r>
              <w:rPr>
                <w:color w:val="auto"/>
              </w:rPr>
              <w:t>本项目拟在</w:t>
            </w:r>
            <w:r>
              <w:rPr>
                <w:rFonts w:hint="eastAsia"/>
                <w:color w:val="auto"/>
              </w:rPr>
              <w:t>厂区东南侧</w:t>
            </w:r>
            <w:r>
              <w:rPr>
                <w:color w:val="auto"/>
              </w:rPr>
              <w:t>设置占地面积约</w:t>
            </w:r>
            <w:r>
              <w:rPr>
                <w:rFonts w:hint="eastAsia"/>
                <w:color w:val="auto"/>
              </w:rPr>
              <w:t>60</w:t>
            </w:r>
            <w:r>
              <w:rPr>
                <w:color w:val="auto"/>
              </w:rPr>
              <w:t>m</w:t>
            </w:r>
            <w:r>
              <w:rPr>
                <w:color w:val="auto"/>
                <w:vertAlign w:val="superscript"/>
              </w:rPr>
              <w:t>2</w:t>
            </w:r>
            <w:r>
              <w:rPr>
                <w:color w:val="auto"/>
              </w:rPr>
              <w:t>的一般固废库，用于</w:t>
            </w:r>
            <w:r>
              <w:rPr>
                <w:rFonts w:hint="eastAsia"/>
                <w:color w:val="auto"/>
              </w:rPr>
              <w:t>暂存废丝、废磨毛料、废布、废包装材料</w:t>
            </w:r>
            <w:r>
              <w:rPr>
                <w:color w:val="auto"/>
              </w:rPr>
              <w:t>等一般固废。一般固体废物贮存场所应严格执行《一般工业固体废物贮存和填埋污染控制标准》（GB18599-2020）的有关规定。</w:t>
            </w:r>
          </w:p>
          <w:p w14:paraId="04DF439E">
            <w:pPr>
              <w:pStyle w:val="47"/>
              <w:ind w:firstLine="482"/>
              <w:rPr>
                <w:b/>
                <w:bCs/>
                <w:color w:val="auto"/>
              </w:rPr>
            </w:pPr>
            <w:r>
              <w:rPr>
                <w:b/>
                <w:bCs/>
                <w:color w:val="auto"/>
              </w:rPr>
              <w:t>③危险废物贮存场所（设施）</w:t>
            </w:r>
          </w:p>
          <w:p w14:paraId="3BAA2808">
            <w:pPr>
              <w:pStyle w:val="47"/>
              <w:ind w:firstLine="480"/>
              <w:rPr>
                <w:color w:val="auto"/>
              </w:rPr>
            </w:pPr>
            <w:r>
              <w:rPr>
                <w:color w:val="auto"/>
              </w:rPr>
              <w:t>本项目拟在</w:t>
            </w:r>
            <w:r>
              <w:rPr>
                <w:rFonts w:hint="eastAsia"/>
                <w:color w:val="auto"/>
              </w:rPr>
              <w:t>厂区东南侧</w:t>
            </w:r>
            <w:r>
              <w:rPr>
                <w:color w:val="auto"/>
              </w:rPr>
              <w:t>设置占地面积约</w:t>
            </w:r>
            <w:r>
              <w:rPr>
                <w:rFonts w:hint="eastAsia"/>
                <w:color w:val="auto"/>
                <w:lang w:val="en-US" w:eastAsia="zh-CN"/>
              </w:rPr>
              <w:t>70</w:t>
            </w:r>
            <w:r>
              <w:rPr>
                <w:color w:val="auto"/>
              </w:rPr>
              <w:t>m</w:t>
            </w:r>
            <w:r>
              <w:rPr>
                <w:color w:val="auto"/>
                <w:vertAlign w:val="superscript"/>
              </w:rPr>
              <w:t>2</w:t>
            </w:r>
            <w:r>
              <w:rPr>
                <w:color w:val="auto"/>
              </w:rPr>
              <w:t>的危废</w:t>
            </w:r>
            <w:r>
              <w:rPr>
                <w:rFonts w:hint="eastAsia"/>
                <w:color w:val="auto"/>
              </w:rPr>
              <w:t>仓库</w:t>
            </w:r>
            <w:r>
              <w:rPr>
                <w:color w:val="auto"/>
              </w:rPr>
              <w:t>，用于暂存</w:t>
            </w:r>
            <w:r>
              <w:rPr>
                <w:rFonts w:hint="eastAsia"/>
                <w:color w:val="auto"/>
              </w:rPr>
              <w:t>危险废物</w:t>
            </w:r>
            <w:r>
              <w:rPr>
                <w:color w:val="auto"/>
              </w:rPr>
              <w:t>。每1m</w:t>
            </w:r>
            <w:r>
              <w:rPr>
                <w:color w:val="auto"/>
                <w:vertAlign w:val="superscript"/>
              </w:rPr>
              <w:t>2</w:t>
            </w:r>
            <w:r>
              <w:rPr>
                <w:color w:val="auto"/>
              </w:rPr>
              <w:t>堆场可储存危废量约1t，仓库的利用系数为0.8t，则危废</w:t>
            </w:r>
            <w:r>
              <w:rPr>
                <w:rFonts w:hint="eastAsia"/>
                <w:color w:val="auto"/>
                <w:lang w:val="en-US" w:eastAsia="zh-CN"/>
              </w:rPr>
              <w:t>仓库</w:t>
            </w:r>
            <w:r>
              <w:rPr>
                <w:color w:val="auto"/>
              </w:rPr>
              <w:t>暂存能力为</w:t>
            </w:r>
            <w:r>
              <w:rPr>
                <w:rFonts w:hint="eastAsia"/>
                <w:color w:val="auto"/>
              </w:rPr>
              <w:t>16</w:t>
            </w:r>
            <w:r>
              <w:rPr>
                <w:color w:val="auto"/>
              </w:rPr>
              <w:t>t。项目建成后危废最大暂存量为</w:t>
            </w:r>
            <w:r>
              <w:rPr>
                <w:rFonts w:hint="eastAsia"/>
                <w:color w:val="auto"/>
                <w:lang w:val="en-US" w:eastAsia="zh-CN"/>
              </w:rPr>
              <w:t>47.37</w:t>
            </w:r>
            <w:r>
              <w:rPr>
                <w:color w:val="auto"/>
              </w:rPr>
              <w:t>t。则故本项目</w:t>
            </w:r>
            <w:r>
              <w:rPr>
                <w:rFonts w:hint="eastAsia"/>
                <w:color w:val="auto"/>
              </w:rPr>
              <w:t>危废库</w:t>
            </w:r>
            <w:r>
              <w:rPr>
                <w:color w:val="auto"/>
              </w:rPr>
              <w:t>贮存能力满足要求。此外，</w:t>
            </w:r>
            <w:r>
              <w:rPr>
                <w:rFonts w:hint="eastAsia"/>
                <w:color w:val="auto"/>
              </w:rPr>
              <w:t>危废库</w:t>
            </w:r>
            <w:r>
              <w:rPr>
                <w:color w:val="auto"/>
              </w:rPr>
              <w:t>设计时充分考虑不同种类危废分类堆存及其所需的额外面积，并配套专用容器，将危险废物分类集中存放。本项目危险废物贮存场所的容量情况分析见</w:t>
            </w:r>
            <w:r>
              <w:rPr>
                <w:color w:val="auto"/>
              </w:rPr>
              <w:fldChar w:fldCharType="begin"/>
            </w:r>
            <w:r>
              <w:rPr>
                <w:color w:val="auto"/>
              </w:rPr>
              <w:instrText xml:space="preserve"> REF _Ref22856 \h </w:instrText>
            </w:r>
            <w:r>
              <w:rPr>
                <w:color w:val="auto"/>
              </w:rPr>
              <w:fldChar w:fldCharType="separate"/>
            </w:r>
            <w:r>
              <w:rPr>
                <w:color w:val="auto"/>
              </w:rPr>
              <w:t>表4- 22</w:t>
            </w:r>
            <w:r>
              <w:rPr>
                <w:color w:val="auto"/>
              </w:rPr>
              <w:fldChar w:fldCharType="end"/>
            </w:r>
            <w:r>
              <w:rPr>
                <w:color w:val="auto"/>
              </w:rPr>
              <w:t>。</w:t>
            </w:r>
          </w:p>
          <w:p w14:paraId="5AF6A8D3">
            <w:pPr>
              <w:pStyle w:val="7"/>
              <w:ind w:firstLine="480"/>
              <w:rPr>
                <w:color w:val="auto"/>
              </w:rPr>
            </w:pPr>
            <w:bookmarkStart w:id="85" w:name="_Ref22856"/>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22</w:t>
            </w:r>
            <w:r>
              <w:rPr>
                <w:color w:val="auto"/>
              </w:rPr>
              <w:fldChar w:fldCharType="end"/>
            </w:r>
            <w:bookmarkEnd w:id="85"/>
            <w:r>
              <w:rPr>
                <w:color w:val="auto"/>
              </w:rPr>
              <w:t xml:space="preserve"> 废物暂存场所情况一览表</w:t>
            </w:r>
          </w:p>
          <w:tbl>
            <w:tblPr>
              <w:tblStyle w:val="1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074"/>
              <w:gridCol w:w="868"/>
              <w:gridCol w:w="1228"/>
              <w:gridCol w:w="346"/>
              <w:gridCol w:w="1008"/>
              <w:gridCol w:w="1110"/>
              <w:gridCol w:w="930"/>
              <w:gridCol w:w="973"/>
            </w:tblGrid>
            <w:tr w14:paraId="1149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12" w:type="pct"/>
                  <w:tcBorders>
                    <w:tl2br w:val="nil"/>
                    <w:tr2bl w:val="nil"/>
                  </w:tcBorders>
                  <w:vAlign w:val="center"/>
                </w:tcPr>
                <w:p w14:paraId="7EC25545">
                  <w:pPr>
                    <w:pStyle w:val="49"/>
                    <w:rPr>
                      <w:color w:val="auto"/>
                    </w:rPr>
                  </w:pPr>
                  <w:r>
                    <w:rPr>
                      <w:color w:val="auto"/>
                    </w:rPr>
                    <w:t>贮存场所名称</w:t>
                  </w:r>
                </w:p>
              </w:tc>
              <w:tc>
                <w:tcPr>
                  <w:tcW w:w="639" w:type="pct"/>
                  <w:tcBorders>
                    <w:tl2br w:val="nil"/>
                    <w:tr2bl w:val="nil"/>
                  </w:tcBorders>
                  <w:vAlign w:val="center"/>
                </w:tcPr>
                <w:p w14:paraId="6B8B6BB2">
                  <w:pPr>
                    <w:pStyle w:val="49"/>
                    <w:rPr>
                      <w:color w:val="auto"/>
                    </w:rPr>
                  </w:pPr>
                  <w:r>
                    <w:rPr>
                      <w:color w:val="auto"/>
                    </w:rPr>
                    <w:t>危险废物</w:t>
                  </w:r>
                </w:p>
                <w:p w14:paraId="4E99B76F">
                  <w:pPr>
                    <w:pStyle w:val="49"/>
                    <w:rPr>
                      <w:color w:val="auto"/>
                    </w:rPr>
                  </w:pPr>
                  <w:r>
                    <w:rPr>
                      <w:color w:val="auto"/>
                    </w:rPr>
                    <w:t>名称</w:t>
                  </w:r>
                </w:p>
              </w:tc>
              <w:tc>
                <w:tcPr>
                  <w:tcW w:w="516" w:type="pct"/>
                  <w:tcBorders>
                    <w:tl2br w:val="nil"/>
                    <w:tr2bl w:val="nil"/>
                  </w:tcBorders>
                  <w:vAlign w:val="center"/>
                </w:tcPr>
                <w:p w14:paraId="25F03039">
                  <w:pPr>
                    <w:pStyle w:val="49"/>
                    <w:rPr>
                      <w:color w:val="auto"/>
                    </w:rPr>
                  </w:pPr>
                  <w:r>
                    <w:rPr>
                      <w:color w:val="auto"/>
                    </w:rPr>
                    <w:t>废物</w:t>
                  </w:r>
                </w:p>
                <w:p w14:paraId="0332DE50">
                  <w:pPr>
                    <w:pStyle w:val="49"/>
                    <w:rPr>
                      <w:color w:val="auto"/>
                    </w:rPr>
                  </w:pPr>
                  <w:r>
                    <w:rPr>
                      <w:color w:val="auto"/>
                    </w:rPr>
                    <w:t>类别</w:t>
                  </w:r>
                </w:p>
              </w:tc>
              <w:tc>
                <w:tcPr>
                  <w:tcW w:w="731" w:type="pct"/>
                  <w:tcBorders>
                    <w:tl2br w:val="nil"/>
                    <w:tr2bl w:val="nil"/>
                  </w:tcBorders>
                  <w:vAlign w:val="center"/>
                </w:tcPr>
                <w:p w14:paraId="5F037139">
                  <w:pPr>
                    <w:pStyle w:val="49"/>
                    <w:rPr>
                      <w:color w:val="auto"/>
                    </w:rPr>
                  </w:pPr>
                  <w:r>
                    <w:rPr>
                      <w:color w:val="auto"/>
                    </w:rPr>
                    <w:t>废物代码</w:t>
                  </w:r>
                </w:p>
              </w:tc>
              <w:tc>
                <w:tcPr>
                  <w:tcW w:w="206" w:type="pct"/>
                  <w:tcBorders>
                    <w:tl2br w:val="nil"/>
                    <w:tr2bl w:val="nil"/>
                  </w:tcBorders>
                  <w:vAlign w:val="center"/>
                </w:tcPr>
                <w:p w14:paraId="4A583A78">
                  <w:pPr>
                    <w:pStyle w:val="49"/>
                    <w:rPr>
                      <w:color w:val="auto"/>
                    </w:rPr>
                  </w:pPr>
                  <w:r>
                    <w:rPr>
                      <w:color w:val="auto"/>
                    </w:rPr>
                    <w:t>位置</w:t>
                  </w:r>
                </w:p>
              </w:tc>
              <w:tc>
                <w:tcPr>
                  <w:tcW w:w="600" w:type="pct"/>
                  <w:tcBorders>
                    <w:tl2br w:val="nil"/>
                    <w:tr2bl w:val="nil"/>
                  </w:tcBorders>
                  <w:vAlign w:val="center"/>
                </w:tcPr>
                <w:p w14:paraId="350EA91F">
                  <w:pPr>
                    <w:pStyle w:val="49"/>
                    <w:rPr>
                      <w:color w:val="auto"/>
                    </w:rPr>
                  </w:pPr>
                  <w:r>
                    <w:rPr>
                      <w:color w:val="auto"/>
                    </w:rPr>
                    <w:t>占地面积（m</w:t>
                  </w:r>
                  <w:r>
                    <w:rPr>
                      <w:color w:val="auto"/>
                      <w:vertAlign w:val="superscript"/>
                    </w:rPr>
                    <w:t>2</w:t>
                  </w:r>
                  <w:r>
                    <w:rPr>
                      <w:color w:val="auto"/>
                    </w:rPr>
                    <w:t>）</w:t>
                  </w:r>
                </w:p>
              </w:tc>
              <w:tc>
                <w:tcPr>
                  <w:tcW w:w="660" w:type="pct"/>
                  <w:tcBorders>
                    <w:tl2br w:val="nil"/>
                    <w:tr2bl w:val="nil"/>
                  </w:tcBorders>
                  <w:vAlign w:val="center"/>
                </w:tcPr>
                <w:p w14:paraId="7F420C68">
                  <w:pPr>
                    <w:pStyle w:val="49"/>
                    <w:rPr>
                      <w:color w:val="auto"/>
                    </w:rPr>
                  </w:pPr>
                  <w:r>
                    <w:rPr>
                      <w:color w:val="auto"/>
                    </w:rPr>
                    <w:t>贮存</w:t>
                  </w:r>
                </w:p>
                <w:p w14:paraId="783C471F">
                  <w:pPr>
                    <w:pStyle w:val="49"/>
                    <w:rPr>
                      <w:color w:val="auto"/>
                    </w:rPr>
                  </w:pPr>
                  <w:r>
                    <w:rPr>
                      <w:color w:val="auto"/>
                    </w:rPr>
                    <w:t>方式</w:t>
                  </w:r>
                </w:p>
              </w:tc>
              <w:tc>
                <w:tcPr>
                  <w:tcW w:w="553" w:type="pct"/>
                  <w:tcBorders>
                    <w:tl2br w:val="nil"/>
                    <w:tr2bl w:val="nil"/>
                  </w:tcBorders>
                  <w:vAlign w:val="center"/>
                </w:tcPr>
                <w:p w14:paraId="4FCEF1BE">
                  <w:pPr>
                    <w:pStyle w:val="49"/>
                    <w:rPr>
                      <w:color w:val="auto"/>
                    </w:rPr>
                  </w:pPr>
                  <w:r>
                    <w:rPr>
                      <w:color w:val="auto"/>
                    </w:rPr>
                    <w:t>贮存能力（m</w:t>
                  </w:r>
                  <w:r>
                    <w:rPr>
                      <w:color w:val="auto"/>
                      <w:vertAlign w:val="superscript"/>
                    </w:rPr>
                    <w:t>2</w:t>
                  </w:r>
                  <w:r>
                    <w:rPr>
                      <w:color w:val="auto"/>
                    </w:rPr>
                    <w:t>）</w:t>
                  </w:r>
                </w:p>
              </w:tc>
              <w:tc>
                <w:tcPr>
                  <w:tcW w:w="579" w:type="pct"/>
                  <w:tcBorders>
                    <w:tl2br w:val="nil"/>
                    <w:tr2bl w:val="nil"/>
                  </w:tcBorders>
                  <w:vAlign w:val="center"/>
                </w:tcPr>
                <w:p w14:paraId="0E20D8A1">
                  <w:pPr>
                    <w:pStyle w:val="49"/>
                    <w:rPr>
                      <w:color w:val="auto"/>
                    </w:rPr>
                  </w:pPr>
                  <w:r>
                    <w:rPr>
                      <w:color w:val="auto"/>
                    </w:rPr>
                    <w:t>贮存</w:t>
                  </w:r>
                </w:p>
                <w:p w14:paraId="44CAF275">
                  <w:pPr>
                    <w:pStyle w:val="49"/>
                    <w:rPr>
                      <w:color w:val="auto"/>
                    </w:rPr>
                  </w:pPr>
                  <w:r>
                    <w:rPr>
                      <w:color w:val="auto"/>
                    </w:rPr>
                    <w:t>周期</w:t>
                  </w:r>
                </w:p>
              </w:tc>
            </w:tr>
            <w:tr w14:paraId="083F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2" w:type="pct"/>
                  <w:vMerge w:val="restart"/>
                  <w:tcBorders>
                    <w:tl2br w:val="nil"/>
                    <w:tr2bl w:val="nil"/>
                  </w:tcBorders>
                  <w:vAlign w:val="center"/>
                </w:tcPr>
                <w:p w14:paraId="40D98B57">
                  <w:pPr>
                    <w:pStyle w:val="51"/>
                    <w:bidi w:val="0"/>
                    <w:rPr>
                      <w:color w:val="auto"/>
                    </w:rPr>
                  </w:pPr>
                  <w:r>
                    <w:rPr>
                      <w:color w:val="auto"/>
                    </w:rPr>
                    <w:t>危废</w:t>
                  </w:r>
                  <w:r>
                    <w:rPr>
                      <w:rFonts w:hint="eastAsia"/>
                      <w:color w:val="auto"/>
                    </w:rPr>
                    <w:t>库</w:t>
                  </w:r>
                </w:p>
              </w:tc>
              <w:tc>
                <w:tcPr>
                  <w:tcW w:w="639" w:type="pct"/>
                  <w:tcBorders>
                    <w:tl2br w:val="nil"/>
                    <w:tr2bl w:val="nil"/>
                  </w:tcBorders>
                  <w:vAlign w:val="center"/>
                </w:tcPr>
                <w:p w14:paraId="051F8792">
                  <w:pPr>
                    <w:pStyle w:val="51"/>
                    <w:bidi w:val="0"/>
                    <w:rPr>
                      <w:rFonts w:hint="eastAsia"/>
                      <w:color w:val="auto"/>
                    </w:rPr>
                  </w:pPr>
                  <w:r>
                    <w:rPr>
                      <w:rFonts w:hint="eastAsia"/>
                      <w:color w:val="auto"/>
                      <w:lang w:val="en-US" w:eastAsia="zh-CN"/>
                    </w:rPr>
                    <w:t>生化污泥</w:t>
                  </w:r>
                </w:p>
              </w:tc>
              <w:tc>
                <w:tcPr>
                  <w:tcW w:w="516" w:type="pct"/>
                  <w:tcBorders>
                    <w:tl2br w:val="nil"/>
                    <w:tr2bl w:val="nil"/>
                  </w:tcBorders>
                  <w:vAlign w:val="center"/>
                </w:tcPr>
                <w:p w14:paraId="15597ACA">
                  <w:pPr>
                    <w:pStyle w:val="51"/>
                    <w:bidi w:val="0"/>
                    <w:rPr>
                      <w:color w:val="auto"/>
                    </w:rPr>
                  </w:pPr>
                  <w:r>
                    <w:rPr>
                      <w:rFonts w:hint="eastAsia"/>
                      <w:color w:val="auto"/>
                      <w:lang w:val="en-US" w:eastAsia="zh-CN"/>
                    </w:rPr>
                    <w:t>待鉴定</w:t>
                  </w:r>
                </w:p>
              </w:tc>
              <w:tc>
                <w:tcPr>
                  <w:tcW w:w="731" w:type="pct"/>
                  <w:tcBorders>
                    <w:tl2br w:val="nil"/>
                    <w:tr2bl w:val="nil"/>
                  </w:tcBorders>
                  <w:vAlign w:val="center"/>
                </w:tcPr>
                <w:p w14:paraId="42FB72AF">
                  <w:pPr>
                    <w:pStyle w:val="51"/>
                    <w:bidi w:val="0"/>
                    <w:rPr>
                      <w:color w:val="auto"/>
                    </w:rPr>
                  </w:pPr>
                  <w:r>
                    <w:rPr>
                      <w:rFonts w:hint="eastAsia"/>
                      <w:color w:val="auto"/>
                      <w:lang w:val="en-US" w:eastAsia="zh-CN"/>
                    </w:rPr>
                    <w:t>/</w:t>
                  </w:r>
                </w:p>
              </w:tc>
              <w:tc>
                <w:tcPr>
                  <w:tcW w:w="206" w:type="pct"/>
                  <w:vMerge w:val="restart"/>
                  <w:tcBorders>
                    <w:tl2br w:val="nil"/>
                    <w:tr2bl w:val="nil"/>
                  </w:tcBorders>
                  <w:vAlign w:val="center"/>
                </w:tcPr>
                <w:p w14:paraId="3B810BB7">
                  <w:pPr>
                    <w:pStyle w:val="51"/>
                    <w:bidi w:val="0"/>
                    <w:rPr>
                      <w:color w:val="auto"/>
                    </w:rPr>
                  </w:pPr>
                  <w:r>
                    <w:rPr>
                      <w:rFonts w:hint="eastAsia"/>
                      <w:color w:val="auto"/>
                    </w:rPr>
                    <w:t>危废库</w:t>
                  </w:r>
                </w:p>
              </w:tc>
              <w:tc>
                <w:tcPr>
                  <w:tcW w:w="1008" w:type="dxa"/>
                  <w:tcBorders>
                    <w:tl2br w:val="nil"/>
                    <w:tr2bl w:val="nil"/>
                  </w:tcBorders>
                  <w:vAlign w:val="center"/>
                </w:tcPr>
                <w:p w14:paraId="12B9AA64">
                  <w:pPr>
                    <w:pStyle w:val="51"/>
                    <w:bidi w:val="0"/>
                    <w:rPr>
                      <w:rFonts w:hint="eastAsia"/>
                      <w:color w:val="auto"/>
                      <w:lang w:val="en-US" w:eastAsia="zh-CN"/>
                    </w:rPr>
                  </w:pPr>
                  <w:r>
                    <w:rPr>
                      <w:rFonts w:hint="eastAsia"/>
                      <w:color w:val="auto"/>
                      <w:lang w:val="en-US" w:eastAsia="zh-CN"/>
                    </w:rPr>
                    <w:t>55</w:t>
                  </w:r>
                </w:p>
              </w:tc>
              <w:tc>
                <w:tcPr>
                  <w:tcW w:w="660" w:type="pct"/>
                  <w:tcBorders>
                    <w:tl2br w:val="nil"/>
                    <w:tr2bl w:val="nil"/>
                  </w:tcBorders>
                  <w:vAlign w:val="center"/>
                </w:tcPr>
                <w:p w14:paraId="55D93DBA">
                  <w:pPr>
                    <w:pStyle w:val="51"/>
                    <w:bidi w:val="0"/>
                    <w:rPr>
                      <w:color w:val="auto"/>
                    </w:rPr>
                  </w:pPr>
                  <w:r>
                    <w:rPr>
                      <w:rFonts w:hint="default"/>
                      <w:color w:val="auto"/>
                    </w:rPr>
                    <w:t>密闭</w:t>
                  </w:r>
                  <w:r>
                    <w:rPr>
                      <w:rFonts w:hint="eastAsia"/>
                      <w:color w:val="auto"/>
                      <w:lang w:val="en-US" w:eastAsia="zh-CN"/>
                    </w:rPr>
                    <w:t>袋装</w:t>
                  </w:r>
                </w:p>
              </w:tc>
              <w:tc>
                <w:tcPr>
                  <w:tcW w:w="930" w:type="dxa"/>
                  <w:tcBorders>
                    <w:tl2br w:val="nil"/>
                    <w:tr2bl w:val="nil"/>
                  </w:tcBorders>
                  <w:vAlign w:val="center"/>
                </w:tcPr>
                <w:p w14:paraId="5435AB86">
                  <w:pPr>
                    <w:pStyle w:val="51"/>
                    <w:bidi w:val="0"/>
                    <w:rPr>
                      <w:rFonts w:hint="eastAsia"/>
                      <w:color w:val="auto"/>
                      <w:lang w:val="en-US" w:eastAsia="zh-CN"/>
                    </w:rPr>
                  </w:pPr>
                  <w:r>
                    <w:rPr>
                      <w:rFonts w:hint="eastAsia"/>
                      <w:color w:val="auto"/>
                      <w:lang w:val="en-US" w:eastAsia="zh-CN"/>
                    </w:rPr>
                    <w:t>44</w:t>
                  </w:r>
                </w:p>
              </w:tc>
              <w:tc>
                <w:tcPr>
                  <w:tcW w:w="579" w:type="pct"/>
                  <w:tcBorders>
                    <w:tl2br w:val="nil"/>
                    <w:tr2bl w:val="nil"/>
                  </w:tcBorders>
                  <w:vAlign w:val="center"/>
                </w:tcPr>
                <w:p w14:paraId="3EAFE456">
                  <w:pPr>
                    <w:pStyle w:val="51"/>
                    <w:bidi w:val="0"/>
                    <w:rPr>
                      <w:color w:val="auto"/>
                    </w:rPr>
                  </w:pPr>
                  <w:r>
                    <w:rPr>
                      <w:rFonts w:hint="default"/>
                      <w:color w:val="auto"/>
                    </w:rPr>
                    <w:t>≤</w:t>
                  </w:r>
                  <w:r>
                    <w:rPr>
                      <w:rFonts w:hint="eastAsia"/>
                      <w:color w:val="auto"/>
                      <w:lang w:val="en-US" w:eastAsia="zh-CN"/>
                    </w:rPr>
                    <w:t>1</w:t>
                  </w:r>
                  <w:r>
                    <w:rPr>
                      <w:rFonts w:hint="default"/>
                      <w:color w:val="auto"/>
                    </w:rPr>
                    <w:t>个月</w:t>
                  </w:r>
                </w:p>
              </w:tc>
            </w:tr>
            <w:tr w14:paraId="7557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2" w:type="pct"/>
                  <w:vMerge w:val="continue"/>
                  <w:tcBorders>
                    <w:tl2br w:val="nil"/>
                    <w:tr2bl w:val="nil"/>
                  </w:tcBorders>
                  <w:vAlign w:val="center"/>
                </w:tcPr>
                <w:p w14:paraId="1EDA6EBF">
                  <w:pPr>
                    <w:pStyle w:val="51"/>
                    <w:bidi w:val="0"/>
                    <w:rPr>
                      <w:color w:val="auto"/>
                    </w:rPr>
                  </w:pPr>
                </w:p>
              </w:tc>
              <w:tc>
                <w:tcPr>
                  <w:tcW w:w="639" w:type="pct"/>
                  <w:tcBorders>
                    <w:tl2br w:val="nil"/>
                    <w:tr2bl w:val="nil"/>
                  </w:tcBorders>
                  <w:vAlign w:val="center"/>
                </w:tcPr>
                <w:p w14:paraId="7CF485A7">
                  <w:pPr>
                    <w:pStyle w:val="51"/>
                    <w:bidi w:val="0"/>
                    <w:rPr>
                      <w:color w:val="auto"/>
                    </w:rPr>
                  </w:pPr>
                  <w:r>
                    <w:rPr>
                      <w:rFonts w:hint="eastAsia"/>
                      <w:color w:val="auto"/>
                    </w:rPr>
                    <w:t>物化污泥</w:t>
                  </w:r>
                </w:p>
              </w:tc>
              <w:tc>
                <w:tcPr>
                  <w:tcW w:w="516" w:type="pct"/>
                  <w:tcBorders>
                    <w:tl2br w:val="nil"/>
                    <w:tr2bl w:val="nil"/>
                  </w:tcBorders>
                  <w:vAlign w:val="center"/>
                </w:tcPr>
                <w:p w14:paraId="2F10DA79">
                  <w:pPr>
                    <w:pStyle w:val="51"/>
                    <w:bidi w:val="0"/>
                    <w:rPr>
                      <w:color w:val="auto"/>
                    </w:rPr>
                  </w:pPr>
                  <w:r>
                    <w:rPr>
                      <w:color w:val="auto"/>
                    </w:rPr>
                    <w:t>HW49</w:t>
                  </w:r>
                </w:p>
              </w:tc>
              <w:tc>
                <w:tcPr>
                  <w:tcW w:w="731" w:type="pct"/>
                  <w:tcBorders>
                    <w:tl2br w:val="nil"/>
                    <w:tr2bl w:val="nil"/>
                  </w:tcBorders>
                  <w:vAlign w:val="center"/>
                </w:tcPr>
                <w:p w14:paraId="4437E1BD">
                  <w:pPr>
                    <w:pStyle w:val="51"/>
                    <w:bidi w:val="0"/>
                    <w:rPr>
                      <w:color w:val="auto"/>
                    </w:rPr>
                  </w:pPr>
                  <w:r>
                    <w:rPr>
                      <w:color w:val="auto"/>
                    </w:rPr>
                    <w:t>772-006-49</w:t>
                  </w:r>
                </w:p>
              </w:tc>
              <w:tc>
                <w:tcPr>
                  <w:tcW w:w="206" w:type="pct"/>
                  <w:vMerge w:val="continue"/>
                  <w:tcBorders>
                    <w:tl2br w:val="nil"/>
                    <w:tr2bl w:val="nil"/>
                  </w:tcBorders>
                  <w:vAlign w:val="center"/>
                </w:tcPr>
                <w:p w14:paraId="43921C2A">
                  <w:pPr>
                    <w:pStyle w:val="51"/>
                    <w:bidi w:val="0"/>
                    <w:rPr>
                      <w:color w:val="auto"/>
                    </w:rPr>
                  </w:pPr>
                </w:p>
              </w:tc>
              <w:tc>
                <w:tcPr>
                  <w:tcW w:w="1008" w:type="dxa"/>
                  <w:tcBorders>
                    <w:tl2br w:val="nil"/>
                    <w:tr2bl w:val="nil"/>
                  </w:tcBorders>
                  <w:vAlign w:val="center"/>
                </w:tcPr>
                <w:p w14:paraId="79AF994C">
                  <w:pPr>
                    <w:pStyle w:val="51"/>
                    <w:bidi w:val="0"/>
                    <w:rPr>
                      <w:rFonts w:hint="default"/>
                      <w:color w:val="auto"/>
                      <w:lang w:val="en-US"/>
                    </w:rPr>
                  </w:pPr>
                  <w:r>
                    <w:rPr>
                      <w:rFonts w:hint="eastAsia"/>
                      <w:color w:val="auto"/>
                      <w:lang w:val="en-US" w:eastAsia="zh-CN"/>
                    </w:rPr>
                    <w:t>6</w:t>
                  </w:r>
                </w:p>
              </w:tc>
              <w:tc>
                <w:tcPr>
                  <w:tcW w:w="660" w:type="pct"/>
                  <w:tcBorders>
                    <w:tl2br w:val="nil"/>
                    <w:tr2bl w:val="nil"/>
                  </w:tcBorders>
                  <w:vAlign w:val="center"/>
                </w:tcPr>
                <w:p w14:paraId="3A533BE5">
                  <w:pPr>
                    <w:pStyle w:val="51"/>
                    <w:bidi w:val="0"/>
                    <w:rPr>
                      <w:color w:val="auto"/>
                    </w:rPr>
                  </w:pPr>
                  <w:r>
                    <w:rPr>
                      <w:color w:val="auto"/>
                    </w:rPr>
                    <w:t>密闭</w:t>
                  </w:r>
                  <w:r>
                    <w:rPr>
                      <w:rFonts w:hint="eastAsia"/>
                      <w:color w:val="auto"/>
                    </w:rPr>
                    <w:t>袋装</w:t>
                  </w:r>
                </w:p>
              </w:tc>
              <w:tc>
                <w:tcPr>
                  <w:tcW w:w="930" w:type="dxa"/>
                  <w:tcBorders>
                    <w:tl2br w:val="nil"/>
                    <w:tr2bl w:val="nil"/>
                  </w:tcBorders>
                  <w:vAlign w:val="center"/>
                </w:tcPr>
                <w:p w14:paraId="49183D9C">
                  <w:pPr>
                    <w:pStyle w:val="51"/>
                    <w:bidi w:val="0"/>
                    <w:rPr>
                      <w:rFonts w:hint="default"/>
                      <w:color w:val="auto"/>
                      <w:lang w:val="en-US" w:eastAsia="zh-CN"/>
                    </w:rPr>
                  </w:pPr>
                  <w:r>
                    <w:rPr>
                      <w:rFonts w:hint="eastAsia"/>
                      <w:color w:val="auto"/>
                      <w:lang w:val="en-US" w:eastAsia="zh-CN"/>
                    </w:rPr>
                    <w:t>4.8</w:t>
                  </w:r>
                </w:p>
              </w:tc>
              <w:tc>
                <w:tcPr>
                  <w:tcW w:w="579" w:type="pct"/>
                  <w:tcBorders>
                    <w:tl2br w:val="nil"/>
                    <w:tr2bl w:val="nil"/>
                  </w:tcBorders>
                  <w:vAlign w:val="center"/>
                </w:tcPr>
                <w:p w14:paraId="6390D574">
                  <w:pPr>
                    <w:pStyle w:val="51"/>
                    <w:bidi w:val="0"/>
                    <w:rPr>
                      <w:color w:val="auto"/>
                    </w:rPr>
                  </w:pPr>
                  <w:r>
                    <w:rPr>
                      <w:color w:val="auto"/>
                    </w:rPr>
                    <w:t>≤</w:t>
                  </w:r>
                  <w:r>
                    <w:rPr>
                      <w:rFonts w:hint="eastAsia"/>
                      <w:color w:val="auto"/>
                      <w:lang w:val="en-US" w:eastAsia="zh-CN"/>
                    </w:rPr>
                    <w:t>2</w:t>
                  </w:r>
                  <w:r>
                    <w:rPr>
                      <w:color w:val="auto"/>
                    </w:rPr>
                    <w:t>个月</w:t>
                  </w:r>
                </w:p>
              </w:tc>
            </w:tr>
            <w:tr w14:paraId="3032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12" w:type="pct"/>
                  <w:vMerge w:val="continue"/>
                  <w:tcBorders>
                    <w:tl2br w:val="nil"/>
                    <w:tr2bl w:val="nil"/>
                  </w:tcBorders>
                  <w:vAlign w:val="center"/>
                </w:tcPr>
                <w:p w14:paraId="5DAE8622">
                  <w:pPr>
                    <w:pStyle w:val="51"/>
                    <w:bidi w:val="0"/>
                    <w:rPr>
                      <w:color w:val="auto"/>
                    </w:rPr>
                  </w:pPr>
                </w:p>
              </w:tc>
              <w:tc>
                <w:tcPr>
                  <w:tcW w:w="639" w:type="pct"/>
                  <w:tcBorders>
                    <w:tl2br w:val="nil"/>
                    <w:tr2bl w:val="nil"/>
                  </w:tcBorders>
                  <w:vAlign w:val="center"/>
                </w:tcPr>
                <w:p w14:paraId="6958AECB">
                  <w:pPr>
                    <w:pStyle w:val="51"/>
                    <w:bidi w:val="0"/>
                    <w:rPr>
                      <w:color w:val="auto"/>
                    </w:rPr>
                  </w:pPr>
                  <w:r>
                    <w:rPr>
                      <w:rFonts w:hint="eastAsia"/>
                      <w:color w:val="auto"/>
                    </w:rPr>
                    <w:t>废加弹油</w:t>
                  </w:r>
                </w:p>
              </w:tc>
              <w:tc>
                <w:tcPr>
                  <w:tcW w:w="516" w:type="pct"/>
                  <w:tcBorders>
                    <w:tl2br w:val="nil"/>
                    <w:tr2bl w:val="nil"/>
                  </w:tcBorders>
                  <w:vAlign w:val="center"/>
                </w:tcPr>
                <w:p w14:paraId="67FCECFC">
                  <w:pPr>
                    <w:pStyle w:val="51"/>
                    <w:bidi w:val="0"/>
                    <w:rPr>
                      <w:color w:val="auto"/>
                    </w:rPr>
                  </w:pPr>
                  <w:r>
                    <w:rPr>
                      <w:color w:val="auto"/>
                    </w:rPr>
                    <w:t>HW08</w:t>
                  </w:r>
                </w:p>
              </w:tc>
              <w:tc>
                <w:tcPr>
                  <w:tcW w:w="731" w:type="pct"/>
                  <w:tcBorders>
                    <w:tl2br w:val="nil"/>
                    <w:tr2bl w:val="nil"/>
                  </w:tcBorders>
                  <w:vAlign w:val="center"/>
                </w:tcPr>
                <w:p w14:paraId="334F1522">
                  <w:pPr>
                    <w:pStyle w:val="51"/>
                    <w:bidi w:val="0"/>
                    <w:rPr>
                      <w:color w:val="auto"/>
                    </w:rPr>
                  </w:pPr>
                  <w:r>
                    <w:rPr>
                      <w:color w:val="auto"/>
                    </w:rPr>
                    <w:t>900-249-08</w:t>
                  </w:r>
                </w:p>
              </w:tc>
              <w:tc>
                <w:tcPr>
                  <w:tcW w:w="206" w:type="pct"/>
                  <w:vMerge w:val="continue"/>
                  <w:tcBorders>
                    <w:tl2br w:val="nil"/>
                    <w:tr2bl w:val="nil"/>
                  </w:tcBorders>
                  <w:vAlign w:val="center"/>
                </w:tcPr>
                <w:p w14:paraId="572C255E">
                  <w:pPr>
                    <w:pStyle w:val="51"/>
                    <w:bidi w:val="0"/>
                    <w:rPr>
                      <w:color w:val="auto"/>
                    </w:rPr>
                  </w:pPr>
                </w:p>
              </w:tc>
              <w:tc>
                <w:tcPr>
                  <w:tcW w:w="1008" w:type="dxa"/>
                  <w:tcBorders>
                    <w:tl2br w:val="nil"/>
                    <w:tr2bl w:val="nil"/>
                  </w:tcBorders>
                  <w:vAlign w:val="center"/>
                </w:tcPr>
                <w:p w14:paraId="47893FA1">
                  <w:pPr>
                    <w:pStyle w:val="51"/>
                    <w:bidi w:val="0"/>
                    <w:rPr>
                      <w:rFonts w:hint="eastAsia"/>
                      <w:color w:val="auto"/>
                      <w:lang w:eastAsia="zh-CN"/>
                    </w:rPr>
                  </w:pPr>
                  <w:r>
                    <w:rPr>
                      <w:rFonts w:hint="eastAsia"/>
                      <w:color w:val="auto"/>
                      <w:lang w:val="en-US" w:eastAsia="zh-CN"/>
                    </w:rPr>
                    <w:t>4</w:t>
                  </w:r>
                </w:p>
              </w:tc>
              <w:tc>
                <w:tcPr>
                  <w:tcW w:w="660" w:type="pct"/>
                  <w:tcBorders>
                    <w:tl2br w:val="nil"/>
                    <w:tr2bl w:val="nil"/>
                  </w:tcBorders>
                  <w:vAlign w:val="center"/>
                </w:tcPr>
                <w:p w14:paraId="6789484F">
                  <w:pPr>
                    <w:pStyle w:val="51"/>
                    <w:bidi w:val="0"/>
                    <w:rPr>
                      <w:color w:val="auto"/>
                    </w:rPr>
                  </w:pPr>
                  <w:r>
                    <w:rPr>
                      <w:color w:val="auto"/>
                    </w:rPr>
                    <w:t>密闭桶装</w:t>
                  </w:r>
                </w:p>
              </w:tc>
              <w:tc>
                <w:tcPr>
                  <w:tcW w:w="930" w:type="dxa"/>
                  <w:tcBorders>
                    <w:tl2br w:val="nil"/>
                    <w:tr2bl w:val="nil"/>
                  </w:tcBorders>
                  <w:vAlign w:val="center"/>
                </w:tcPr>
                <w:p w14:paraId="3AA0C3EA">
                  <w:pPr>
                    <w:pStyle w:val="51"/>
                    <w:bidi w:val="0"/>
                    <w:rPr>
                      <w:rFonts w:hint="default"/>
                      <w:color w:val="auto"/>
                      <w:lang w:val="en-US"/>
                    </w:rPr>
                  </w:pPr>
                  <w:r>
                    <w:rPr>
                      <w:rFonts w:hint="eastAsia"/>
                      <w:color w:val="auto"/>
                      <w:lang w:val="en-US" w:eastAsia="zh-CN"/>
                    </w:rPr>
                    <w:t>3.2</w:t>
                  </w:r>
                </w:p>
              </w:tc>
              <w:tc>
                <w:tcPr>
                  <w:tcW w:w="579" w:type="pct"/>
                  <w:tcBorders>
                    <w:tl2br w:val="nil"/>
                    <w:tr2bl w:val="nil"/>
                  </w:tcBorders>
                  <w:shd w:val="clear" w:color="auto" w:fill="auto"/>
                  <w:vAlign w:val="center"/>
                </w:tcPr>
                <w:p w14:paraId="1D2730DB">
                  <w:pPr>
                    <w:pStyle w:val="51"/>
                    <w:bidi w:val="0"/>
                    <w:rPr>
                      <w:color w:val="auto"/>
                    </w:rPr>
                  </w:pPr>
                  <w:r>
                    <w:rPr>
                      <w:color w:val="auto"/>
                    </w:rPr>
                    <w:t>≤</w:t>
                  </w:r>
                  <w:r>
                    <w:rPr>
                      <w:rFonts w:hint="eastAsia"/>
                      <w:color w:val="auto"/>
                    </w:rPr>
                    <w:t>3</w:t>
                  </w:r>
                  <w:r>
                    <w:rPr>
                      <w:color w:val="auto"/>
                    </w:rPr>
                    <w:t>个月</w:t>
                  </w:r>
                </w:p>
              </w:tc>
            </w:tr>
            <w:tr w14:paraId="3E9B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2" w:type="pct"/>
                  <w:vMerge w:val="continue"/>
                  <w:tcBorders>
                    <w:tl2br w:val="nil"/>
                    <w:tr2bl w:val="nil"/>
                  </w:tcBorders>
                  <w:vAlign w:val="center"/>
                </w:tcPr>
                <w:p w14:paraId="126B24E8">
                  <w:pPr>
                    <w:pStyle w:val="51"/>
                    <w:bidi w:val="0"/>
                    <w:rPr>
                      <w:color w:val="auto"/>
                    </w:rPr>
                  </w:pPr>
                </w:p>
              </w:tc>
              <w:tc>
                <w:tcPr>
                  <w:tcW w:w="639" w:type="pct"/>
                  <w:tcBorders>
                    <w:tl2br w:val="nil"/>
                    <w:tr2bl w:val="nil"/>
                  </w:tcBorders>
                  <w:vAlign w:val="center"/>
                </w:tcPr>
                <w:p w14:paraId="56F888A7">
                  <w:pPr>
                    <w:pStyle w:val="51"/>
                    <w:bidi w:val="0"/>
                    <w:rPr>
                      <w:color w:val="auto"/>
                    </w:rPr>
                  </w:pPr>
                  <w:r>
                    <w:rPr>
                      <w:rFonts w:hint="eastAsia"/>
                      <w:color w:val="auto"/>
                    </w:rPr>
                    <w:t>废机油</w:t>
                  </w:r>
                </w:p>
              </w:tc>
              <w:tc>
                <w:tcPr>
                  <w:tcW w:w="516" w:type="pct"/>
                  <w:tcBorders>
                    <w:tl2br w:val="nil"/>
                    <w:tr2bl w:val="nil"/>
                  </w:tcBorders>
                  <w:vAlign w:val="center"/>
                </w:tcPr>
                <w:p w14:paraId="39DF81BD">
                  <w:pPr>
                    <w:pStyle w:val="51"/>
                    <w:bidi w:val="0"/>
                    <w:rPr>
                      <w:color w:val="auto"/>
                    </w:rPr>
                  </w:pPr>
                  <w:r>
                    <w:rPr>
                      <w:color w:val="auto"/>
                    </w:rPr>
                    <w:t>HW08</w:t>
                  </w:r>
                </w:p>
              </w:tc>
              <w:tc>
                <w:tcPr>
                  <w:tcW w:w="731" w:type="pct"/>
                  <w:tcBorders>
                    <w:tl2br w:val="nil"/>
                    <w:tr2bl w:val="nil"/>
                  </w:tcBorders>
                  <w:vAlign w:val="center"/>
                </w:tcPr>
                <w:p w14:paraId="2F983184">
                  <w:pPr>
                    <w:pStyle w:val="51"/>
                    <w:bidi w:val="0"/>
                    <w:rPr>
                      <w:color w:val="auto"/>
                    </w:rPr>
                  </w:pPr>
                  <w:r>
                    <w:rPr>
                      <w:color w:val="auto"/>
                    </w:rPr>
                    <w:t>900-214-08</w:t>
                  </w:r>
                </w:p>
              </w:tc>
              <w:tc>
                <w:tcPr>
                  <w:tcW w:w="206" w:type="pct"/>
                  <w:vMerge w:val="continue"/>
                  <w:tcBorders>
                    <w:tl2br w:val="nil"/>
                    <w:tr2bl w:val="nil"/>
                  </w:tcBorders>
                  <w:vAlign w:val="center"/>
                </w:tcPr>
                <w:p w14:paraId="277E46C0">
                  <w:pPr>
                    <w:pStyle w:val="51"/>
                    <w:bidi w:val="0"/>
                    <w:rPr>
                      <w:color w:val="auto"/>
                    </w:rPr>
                  </w:pPr>
                </w:p>
              </w:tc>
              <w:tc>
                <w:tcPr>
                  <w:tcW w:w="1008" w:type="dxa"/>
                  <w:tcBorders>
                    <w:tl2br w:val="nil"/>
                    <w:tr2bl w:val="nil"/>
                  </w:tcBorders>
                  <w:vAlign w:val="center"/>
                </w:tcPr>
                <w:p w14:paraId="302FF213">
                  <w:pPr>
                    <w:pStyle w:val="51"/>
                    <w:bidi w:val="0"/>
                    <w:rPr>
                      <w:color w:val="auto"/>
                    </w:rPr>
                  </w:pPr>
                  <w:r>
                    <w:rPr>
                      <w:rFonts w:hint="eastAsia"/>
                      <w:color w:val="auto"/>
                      <w:lang w:val="en-US" w:eastAsia="zh-CN"/>
                    </w:rPr>
                    <w:t>4</w:t>
                  </w:r>
                </w:p>
              </w:tc>
              <w:tc>
                <w:tcPr>
                  <w:tcW w:w="660" w:type="pct"/>
                  <w:tcBorders>
                    <w:tl2br w:val="nil"/>
                    <w:tr2bl w:val="nil"/>
                  </w:tcBorders>
                  <w:vAlign w:val="center"/>
                </w:tcPr>
                <w:p w14:paraId="582FAB27">
                  <w:pPr>
                    <w:pStyle w:val="51"/>
                    <w:bidi w:val="0"/>
                    <w:rPr>
                      <w:color w:val="auto"/>
                    </w:rPr>
                  </w:pPr>
                  <w:r>
                    <w:rPr>
                      <w:color w:val="auto"/>
                    </w:rPr>
                    <w:t>密闭桶装</w:t>
                  </w:r>
                </w:p>
              </w:tc>
              <w:tc>
                <w:tcPr>
                  <w:tcW w:w="930" w:type="dxa"/>
                  <w:tcBorders>
                    <w:tl2br w:val="nil"/>
                    <w:tr2bl w:val="nil"/>
                  </w:tcBorders>
                  <w:vAlign w:val="center"/>
                </w:tcPr>
                <w:p w14:paraId="6E8A0C9A">
                  <w:pPr>
                    <w:pStyle w:val="51"/>
                    <w:bidi w:val="0"/>
                    <w:rPr>
                      <w:color w:val="auto"/>
                    </w:rPr>
                  </w:pPr>
                  <w:r>
                    <w:rPr>
                      <w:rFonts w:hint="eastAsia"/>
                      <w:color w:val="auto"/>
                      <w:lang w:val="en-US" w:eastAsia="zh-CN"/>
                    </w:rPr>
                    <w:t>3.2</w:t>
                  </w:r>
                </w:p>
              </w:tc>
              <w:tc>
                <w:tcPr>
                  <w:tcW w:w="579" w:type="pct"/>
                  <w:tcBorders>
                    <w:tl2br w:val="nil"/>
                    <w:tr2bl w:val="nil"/>
                  </w:tcBorders>
                  <w:shd w:val="clear" w:color="auto" w:fill="auto"/>
                  <w:vAlign w:val="center"/>
                </w:tcPr>
                <w:p w14:paraId="3D91533E">
                  <w:pPr>
                    <w:pStyle w:val="51"/>
                    <w:bidi w:val="0"/>
                    <w:rPr>
                      <w:color w:val="auto"/>
                    </w:rPr>
                  </w:pPr>
                  <w:r>
                    <w:rPr>
                      <w:color w:val="auto"/>
                    </w:rPr>
                    <w:t>≤</w:t>
                  </w:r>
                  <w:r>
                    <w:rPr>
                      <w:rFonts w:hint="eastAsia"/>
                      <w:color w:val="auto"/>
                      <w:lang w:val="en-US" w:eastAsia="zh-CN"/>
                    </w:rPr>
                    <w:t>12</w:t>
                  </w:r>
                  <w:r>
                    <w:rPr>
                      <w:color w:val="auto"/>
                    </w:rPr>
                    <w:t>个月</w:t>
                  </w:r>
                </w:p>
              </w:tc>
            </w:tr>
            <w:tr w14:paraId="31A7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2" w:type="pct"/>
                  <w:vMerge w:val="continue"/>
                  <w:tcBorders>
                    <w:tl2br w:val="nil"/>
                    <w:tr2bl w:val="nil"/>
                  </w:tcBorders>
                  <w:vAlign w:val="center"/>
                </w:tcPr>
                <w:p w14:paraId="0C0AC358">
                  <w:pPr>
                    <w:pStyle w:val="51"/>
                    <w:bidi w:val="0"/>
                    <w:rPr>
                      <w:color w:val="auto"/>
                    </w:rPr>
                  </w:pPr>
                </w:p>
              </w:tc>
              <w:tc>
                <w:tcPr>
                  <w:tcW w:w="639" w:type="pct"/>
                  <w:tcBorders>
                    <w:tl2br w:val="nil"/>
                    <w:tr2bl w:val="nil"/>
                  </w:tcBorders>
                  <w:vAlign w:val="center"/>
                </w:tcPr>
                <w:p w14:paraId="4DF94B40">
                  <w:pPr>
                    <w:pStyle w:val="51"/>
                    <w:bidi w:val="0"/>
                    <w:rPr>
                      <w:color w:val="auto"/>
                    </w:rPr>
                  </w:pPr>
                  <w:r>
                    <w:rPr>
                      <w:rFonts w:hint="eastAsia"/>
                      <w:color w:val="auto"/>
                    </w:rPr>
                    <w:t>废机油桶</w:t>
                  </w:r>
                </w:p>
              </w:tc>
              <w:tc>
                <w:tcPr>
                  <w:tcW w:w="516" w:type="pct"/>
                  <w:tcBorders>
                    <w:tl2br w:val="nil"/>
                    <w:tr2bl w:val="nil"/>
                  </w:tcBorders>
                  <w:vAlign w:val="center"/>
                </w:tcPr>
                <w:p w14:paraId="76CD2D7A">
                  <w:pPr>
                    <w:pStyle w:val="51"/>
                    <w:bidi w:val="0"/>
                    <w:rPr>
                      <w:color w:val="auto"/>
                    </w:rPr>
                  </w:pPr>
                  <w:r>
                    <w:rPr>
                      <w:color w:val="auto"/>
                    </w:rPr>
                    <w:t>HW08</w:t>
                  </w:r>
                </w:p>
              </w:tc>
              <w:tc>
                <w:tcPr>
                  <w:tcW w:w="731" w:type="pct"/>
                  <w:tcBorders>
                    <w:tl2br w:val="nil"/>
                    <w:tr2bl w:val="nil"/>
                  </w:tcBorders>
                  <w:vAlign w:val="center"/>
                </w:tcPr>
                <w:p w14:paraId="190813FF">
                  <w:pPr>
                    <w:pStyle w:val="51"/>
                    <w:bidi w:val="0"/>
                    <w:rPr>
                      <w:color w:val="auto"/>
                    </w:rPr>
                  </w:pPr>
                  <w:r>
                    <w:rPr>
                      <w:color w:val="auto"/>
                    </w:rPr>
                    <w:t>900-249-08</w:t>
                  </w:r>
                </w:p>
              </w:tc>
              <w:tc>
                <w:tcPr>
                  <w:tcW w:w="206" w:type="pct"/>
                  <w:vMerge w:val="continue"/>
                  <w:tcBorders>
                    <w:tl2br w:val="nil"/>
                    <w:tr2bl w:val="nil"/>
                  </w:tcBorders>
                  <w:vAlign w:val="center"/>
                </w:tcPr>
                <w:p w14:paraId="39A5E6E3">
                  <w:pPr>
                    <w:pStyle w:val="51"/>
                    <w:bidi w:val="0"/>
                    <w:rPr>
                      <w:color w:val="auto"/>
                    </w:rPr>
                  </w:pPr>
                </w:p>
              </w:tc>
              <w:tc>
                <w:tcPr>
                  <w:tcW w:w="1008" w:type="dxa"/>
                  <w:tcBorders>
                    <w:tl2br w:val="nil"/>
                    <w:tr2bl w:val="nil"/>
                  </w:tcBorders>
                  <w:vAlign w:val="center"/>
                </w:tcPr>
                <w:p w14:paraId="68D4E95E">
                  <w:pPr>
                    <w:pStyle w:val="51"/>
                    <w:bidi w:val="0"/>
                    <w:rPr>
                      <w:color w:val="auto"/>
                    </w:rPr>
                  </w:pPr>
                  <w:r>
                    <w:rPr>
                      <w:rFonts w:hint="eastAsia"/>
                      <w:color w:val="auto"/>
                      <w:lang w:val="en-US" w:eastAsia="zh-CN"/>
                    </w:rPr>
                    <w:t>1</w:t>
                  </w:r>
                </w:p>
              </w:tc>
              <w:tc>
                <w:tcPr>
                  <w:tcW w:w="660" w:type="pct"/>
                  <w:tcBorders>
                    <w:tl2br w:val="nil"/>
                    <w:tr2bl w:val="nil"/>
                  </w:tcBorders>
                  <w:vAlign w:val="center"/>
                </w:tcPr>
                <w:p w14:paraId="095B1523">
                  <w:pPr>
                    <w:pStyle w:val="51"/>
                    <w:bidi w:val="0"/>
                    <w:rPr>
                      <w:color w:val="auto"/>
                    </w:rPr>
                  </w:pPr>
                  <w:r>
                    <w:rPr>
                      <w:rFonts w:hint="eastAsia"/>
                      <w:color w:val="auto"/>
                    </w:rPr>
                    <w:t>码放</w:t>
                  </w:r>
                </w:p>
              </w:tc>
              <w:tc>
                <w:tcPr>
                  <w:tcW w:w="553" w:type="pct"/>
                  <w:tcBorders>
                    <w:tl2br w:val="nil"/>
                    <w:tr2bl w:val="nil"/>
                  </w:tcBorders>
                  <w:vAlign w:val="center"/>
                </w:tcPr>
                <w:p w14:paraId="25E0E0A5">
                  <w:pPr>
                    <w:pStyle w:val="51"/>
                    <w:bidi w:val="0"/>
                    <w:rPr>
                      <w:color w:val="auto"/>
                    </w:rPr>
                  </w:pPr>
                  <w:r>
                    <w:rPr>
                      <w:rFonts w:hint="eastAsia"/>
                      <w:color w:val="auto"/>
                    </w:rPr>
                    <w:t>0.8</w:t>
                  </w:r>
                </w:p>
              </w:tc>
              <w:tc>
                <w:tcPr>
                  <w:tcW w:w="579" w:type="pct"/>
                  <w:tcBorders>
                    <w:tl2br w:val="nil"/>
                    <w:tr2bl w:val="nil"/>
                  </w:tcBorders>
                  <w:vAlign w:val="center"/>
                </w:tcPr>
                <w:p w14:paraId="150FBB6D">
                  <w:pPr>
                    <w:pStyle w:val="51"/>
                    <w:bidi w:val="0"/>
                    <w:rPr>
                      <w:color w:val="auto"/>
                    </w:rPr>
                  </w:pPr>
                  <w:r>
                    <w:rPr>
                      <w:color w:val="auto"/>
                    </w:rPr>
                    <w:t>≤</w:t>
                  </w:r>
                  <w:r>
                    <w:rPr>
                      <w:rFonts w:hint="eastAsia"/>
                      <w:color w:val="auto"/>
                      <w:lang w:val="en-US" w:eastAsia="zh-CN"/>
                    </w:rPr>
                    <w:t>12</w:t>
                  </w:r>
                  <w:r>
                    <w:rPr>
                      <w:color w:val="auto"/>
                    </w:rPr>
                    <w:t>个月</w:t>
                  </w:r>
                </w:p>
              </w:tc>
            </w:tr>
            <w:tr w14:paraId="0742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9"/>
                  <w:tcBorders>
                    <w:tl2br w:val="nil"/>
                    <w:tr2bl w:val="nil"/>
                  </w:tcBorders>
                  <w:vAlign w:val="center"/>
                </w:tcPr>
                <w:p w14:paraId="13666792">
                  <w:pPr>
                    <w:pStyle w:val="51"/>
                    <w:jc w:val="both"/>
                    <w:rPr>
                      <w:color w:val="auto"/>
                    </w:rPr>
                  </w:pPr>
                  <w:r>
                    <w:rPr>
                      <w:rFonts w:hint="eastAsia"/>
                      <w:color w:val="auto"/>
                      <w:lang w:val="en-US" w:eastAsia="zh-CN"/>
                    </w:rPr>
                    <w:t>注：</w:t>
                  </w:r>
                  <w:r>
                    <w:rPr>
                      <w:rFonts w:hint="eastAsia"/>
                      <w:color w:val="auto"/>
                    </w:rPr>
                    <w:t>生化污泥</w:t>
                  </w:r>
                  <w:r>
                    <w:rPr>
                      <w:rFonts w:hint="eastAsia"/>
                      <w:color w:val="auto"/>
                      <w:lang w:val="en-US" w:eastAsia="zh-CN"/>
                    </w:rPr>
                    <w:t>处置</w:t>
                  </w:r>
                  <w:r>
                    <w:rPr>
                      <w:rFonts w:hint="eastAsia"/>
                      <w:color w:val="auto"/>
                    </w:rPr>
                    <w:t>前需经过鉴定，如具有危险特性，则委托有资质单位</w:t>
                  </w:r>
                  <w:r>
                    <w:rPr>
                      <w:rFonts w:hint="eastAsia"/>
                      <w:color w:val="auto"/>
                      <w:lang w:val="en-US" w:eastAsia="zh-CN"/>
                    </w:rPr>
                    <w:t>处置</w:t>
                  </w:r>
                  <w:r>
                    <w:rPr>
                      <w:rFonts w:hint="eastAsia"/>
                      <w:color w:val="auto"/>
                    </w:rPr>
                    <w:t>；如不具有危险特性，则外售综合利用</w:t>
                  </w:r>
                  <w:r>
                    <w:rPr>
                      <w:rFonts w:hint="eastAsia"/>
                      <w:color w:val="auto"/>
                      <w:lang w:eastAsia="zh-CN"/>
                    </w:rPr>
                    <w:t>。</w:t>
                  </w:r>
                  <w:r>
                    <w:rPr>
                      <w:rFonts w:hint="eastAsia"/>
                      <w:color w:val="auto"/>
                      <w:lang w:val="en-US" w:eastAsia="zh-CN"/>
                    </w:rPr>
                    <w:t>鉴定前，按危废暂存。</w:t>
                  </w:r>
                </w:p>
              </w:tc>
            </w:tr>
          </w:tbl>
          <w:p w14:paraId="106B28E9">
            <w:pPr>
              <w:pStyle w:val="47"/>
              <w:ind w:firstLine="482"/>
              <w:rPr>
                <w:b/>
                <w:bCs/>
                <w:color w:val="auto"/>
              </w:rPr>
            </w:pPr>
            <w:r>
              <w:rPr>
                <w:b/>
                <w:bCs/>
                <w:color w:val="auto"/>
              </w:rPr>
              <w:t>1）厂内运输</w:t>
            </w:r>
          </w:p>
          <w:p w14:paraId="448B9D3A">
            <w:pPr>
              <w:pStyle w:val="47"/>
              <w:ind w:firstLine="480"/>
              <w:rPr>
                <w:color w:val="auto"/>
              </w:rPr>
            </w:pPr>
            <w:r>
              <w:rPr>
                <w:color w:val="auto"/>
              </w:rPr>
              <w:t>厂内产生的危险废物在完成分类收集和包装后，由专门人员送至危险废物仓库。危险废物在厂内运输过程中可能发生泄漏或散落的情况，应将危险废物及时收集，以减轻对周围环境的影响。厂区内运输路线地面均需进行硬化处理，泄漏物得到及时收集后，对土壤及地下水影响较小。</w:t>
            </w:r>
          </w:p>
          <w:p w14:paraId="427C2D26">
            <w:pPr>
              <w:pStyle w:val="47"/>
              <w:ind w:firstLine="482"/>
              <w:rPr>
                <w:b/>
                <w:bCs/>
                <w:color w:val="auto"/>
              </w:rPr>
            </w:pPr>
            <w:r>
              <w:rPr>
                <w:b/>
                <w:bCs/>
                <w:color w:val="auto"/>
              </w:rPr>
              <w:t>2）厂内暂存</w:t>
            </w:r>
          </w:p>
          <w:p w14:paraId="4B067F4B">
            <w:pPr>
              <w:pStyle w:val="47"/>
              <w:ind w:firstLine="480"/>
              <w:rPr>
                <w:color w:val="auto"/>
              </w:rPr>
            </w:pPr>
            <w:r>
              <w:rPr>
                <w:color w:val="auto"/>
              </w:rPr>
              <w:t>本项目危废</w:t>
            </w:r>
            <w:r>
              <w:rPr>
                <w:rFonts w:hint="eastAsia"/>
                <w:color w:val="auto"/>
              </w:rPr>
              <w:t>库</w:t>
            </w:r>
            <w:r>
              <w:rPr>
                <w:color w:val="auto"/>
              </w:rPr>
              <w:t>内危险废物贮存严格执行《危险废物贮存污染控制标准》（GB18597-2023）、《省生态环境厅关于做好江苏省危险废物全生命周期监控系统上线运行工作的通知》（苏环办〔2020〕401号）等文件要求，加强危险废物工作的全过程管理。</w:t>
            </w:r>
          </w:p>
          <w:p w14:paraId="6777973A">
            <w:pPr>
              <w:pStyle w:val="47"/>
              <w:ind w:firstLine="480"/>
              <w:rPr>
                <w:color w:val="auto"/>
              </w:rPr>
            </w:pPr>
            <w:r>
              <w:rPr>
                <w:color w:val="auto"/>
              </w:rPr>
              <w:t>危废</w:t>
            </w:r>
            <w:r>
              <w:rPr>
                <w:rFonts w:hint="eastAsia"/>
                <w:color w:val="auto"/>
              </w:rPr>
              <w:t>库</w:t>
            </w:r>
            <w:r>
              <w:rPr>
                <w:color w:val="auto"/>
              </w:rPr>
              <w:t>应符合以下要求：</w:t>
            </w:r>
          </w:p>
          <w:p w14:paraId="08A492D3">
            <w:pPr>
              <w:pStyle w:val="47"/>
              <w:ind w:firstLine="480"/>
              <w:rPr>
                <w:color w:val="auto"/>
              </w:rPr>
            </w:pPr>
            <w:r>
              <w:rPr>
                <w:color w:val="auto"/>
              </w:rPr>
              <w:t>a.贮存设施应根据危险废物的形态、物理化学性质、包装形式和污染物迁移途径，采取必要的防风、防晒、防雨、防漏、防渗、防腐以及其他环境污染防治措施，不应露天堆放危险废物；</w:t>
            </w:r>
          </w:p>
          <w:p w14:paraId="09FE8A73">
            <w:pPr>
              <w:pStyle w:val="47"/>
              <w:ind w:firstLine="480"/>
              <w:rPr>
                <w:color w:val="auto"/>
              </w:rPr>
            </w:pPr>
            <w:r>
              <w:rPr>
                <w:color w:val="auto"/>
              </w:rPr>
              <w:t>b.贮存设施应根据危险废物的类别、数量、形态、物理化学性质和污染防治等要求设置必要的贮存分区，避免不相容的危险废物接触、混合；</w:t>
            </w:r>
          </w:p>
          <w:p w14:paraId="3058A14C">
            <w:pPr>
              <w:pStyle w:val="47"/>
              <w:ind w:firstLine="480"/>
              <w:rPr>
                <w:color w:val="auto"/>
              </w:rPr>
            </w:pPr>
            <w:r>
              <w:rPr>
                <w:color w:val="auto"/>
              </w:rPr>
              <w:t>c.贮存设施或贮存分区内地面、墙面裙角、堵截泄漏的围堰、接触危险废物的隔板和墙体等应采用坚固的材料建造，表面无裂缝；</w:t>
            </w:r>
          </w:p>
          <w:p w14:paraId="0599EB5C">
            <w:pPr>
              <w:pStyle w:val="47"/>
              <w:ind w:firstLine="480"/>
              <w:rPr>
                <w:color w:val="auto"/>
              </w:rPr>
            </w:pPr>
            <w:r>
              <w:rPr>
                <w:color w:val="auto"/>
              </w:rPr>
              <w:t>d.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color w:val="auto"/>
                <w:vertAlign w:val="superscript"/>
              </w:rPr>
              <w:t>-7</w:t>
            </w:r>
            <w:r>
              <w:rPr>
                <w:color w:val="auto"/>
              </w:rPr>
              <w:t>cm/s），或至少2mm厚高密度聚乙烯膜等人工防渗材料（渗透系数不大于10</w:t>
            </w:r>
            <w:r>
              <w:rPr>
                <w:color w:val="auto"/>
                <w:vertAlign w:val="superscript"/>
              </w:rPr>
              <w:t>-10</w:t>
            </w:r>
            <w:r>
              <w:rPr>
                <w:color w:val="auto"/>
              </w:rPr>
              <w:t>cm/s），或其他防渗性能等效的材料；</w:t>
            </w:r>
          </w:p>
          <w:p w14:paraId="68B9B118">
            <w:pPr>
              <w:pStyle w:val="47"/>
              <w:ind w:firstLine="480"/>
              <w:rPr>
                <w:color w:val="auto"/>
              </w:rPr>
            </w:pPr>
            <w:r>
              <w:rPr>
                <w:color w:val="auto"/>
              </w:rPr>
              <w:t>e.同一贮存设施宜采用相同的防渗、防腐工艺（包括防渗、防腐结构或材料），防渗、防腐材料应覆盖所有可能与废物及其渗滤液、渗漏液等接触的构筑物表面；采用不同防渗、防腐工艺应分别建设贮存分区；</w:t>
            </w:r>
          </w:p>
          <w:p w14:paraId="3662949E">
            <w:pPr>
              <w:pStyle w:val="47"/>
              <w:ind w:firstLine="480"/>
              <w:rPr>
                <w:color w:val="auto"/>
              </w:rPr>
            </w:pPr>
            <w:r>
              <w:rPr>
                <w:color w:val="auto"/>
              </w:rPr>
              <w:t>f.贮存设施应采取技术和管理措施防止无关人员进入。</w:t>
            </w:r>
          </w:p>
          <w:p w14:paraId="6E3F588D">
            <w:pPr>
              <w:pStyle w:val="47"/>
              <w:ind w:firstLine="482"/>
              <w:rPr>
                <w:b/>
                <w:bCs/>
                <w:color w:val="auto"/>
              </w:rPr>
            </w:pPr>
            <w:r>
              <w:rPr>
                <w:b/>
                <w:bCs/>
                <w:color w:val="auto"/>
              </w:rPr>
              <w:t>3）危险废物外运</w:t>
            </w:r>
          </w:p>
          <w:p w14:paraId="0129036F">
            <w:pPr>
              <w:pStyle w:val="47"/>
              <w:ind w:firstLine="480"/>
              <w:rPr>
                <w:color w:val="auto"/>
              </w:rPr>
            </w:pPr>
            <w:r>
              <w:rPr>
                <w:color w:val="auto"/>
              </w:rPr>
              <w:t>a.外运准备</w:t>
            </w:r>
          </w:p>
          <w:p w14:paraId="174A0830">
            <w:pPr>
              <w:pStyle w:val="47"/>
              <w:ind w:firstLine="480"/>
              <w:rPr>
                <w:color w:val="auto"/>
              </w:rPr>
            </w:pPr>
            <w:r>
              <w:rPr>
                <w:color w:val="auto"/>
              </w:rPr>
              <w:t>危险废物转移出厂区前应做好以下工作：在收集时应清楚废物的类别及主要成分，以方便委托处理单位处理，所有包装容器应足够安全，并经过周密检查，严防在装载、搬移或运输途中出现渗漏、溢出、抛洒或挥发等情况。按照《关于加强危险废物交换和转移管理工作的通知》规定，对危险废物进行安全包装，并在包装的明显位置附上危险废物标签；</w:t>
            </w:r>
          </w:p>
          <w:p w14:paraId="78684846">
            <w:pPr>
              <w:pStyle w:val="47"/>
              <w:ind w:firstLine="480"/>
              <w:rPr>
                <w:color w:val="auto"/>
              </w:rPr>
            </w:pPr>
            <w:r>
              <w:rPr>
                <w:color w:val="auto"/>
              </w:rPr>
              <w:t>b.委外运输</w:t>
            </w:r>
          </w:p>
          <w:p w14:paraId="38C055BE">
            <w:pPr>
              <w:pStyle w:val="47"/>
              <w:ind w:firstLine="480"/>
              <w:rPr>
                <w:color w:val="auto"/>
              </w:rPr>
            </w:pPr>
            <w:r>
              <w:rPr>
                <w:color w:val="auto"/>
              </w:rPr>
              <w:t>危险废物委托资质单位外运处置，严格执行危险废物转移联单制度。危险废物的运输车辆须经主管单位检查，并持有有关单位签发的许可证，负责运输的司机应通过培训，持有证明文件。承载危险废物的车辆须有明显的标志或适当的危险符号。载有危险废物的车辆在公路上行驶时，需持有运输许可证，其上应注明废物来源、性质和运往地点。组织危险废物的运输单位，在事先需做出周密的运输计划和行驶路线，其中包括有效的废物泄漏情况下的应急措施。</w:t>
            </w:r>
          </w:p>
          <w:p w14:paraId="6E551677">
            <w:pPr>
              <w:pStyle w:val="47"/>
              <w:ind w:firstLine="482"/>
              <w:rPr>
                <w:b/>
                <w:bCs/>
                <w:color w:val="auto"/>
              </w:rPr>
            </w:pPr>
            <w:r>
              <w:rPr>
                <w:b/>
                <w:bCs/>
                <w:color w:val="auto"/>
              </w:rPr>
              <w:t>4）委托利用或者处置的环境影响分析</w:t>
            </w:r>
          </w:p>
          <w:p w14:paraId="28FD93F6">
            <w:pPr>
              <w:pStyle w:val="47"/>
              <w:ind w:firstLine="480"/>
              <w:rPr>
                <w:color w:val="auto"/>
              </w:rPr>
            </w:pPr>
            <w:r>
              <w:rPr>
                <w:color w:val="auto"/>
              </w:rPr>
              <w:t>本项目运营后，厂区内产生的危废废物</w:t>
            </w:r>
            <w:r>
              <w:rPr>
                <w:rFonts w:hint="eastAsia"/>
                <w:color w:val="auto"/>
              </w:rPr>
              <w:t>包括物化污泥（HW49，772-006-49）、废加弹油（HW08，900-249-08）、废机油（HW08，900-214-08）、废机油桶（HW08，900-249-08）</w:t>
            </w:r>
            <w:r>
              <w:rPr>
                <w:color w:val="auto"/>
              </w:rPr>
              <w:t>。待该项目试生产后，企业须同有危险废物处置资质的单位签订协议，对产生的危险废物进行安全处置。其他资质单位可以到江苏省生态环境厅网站进行查询，如不能有效落实危险废物的去向问题，应立即停止生产。</w:t>
            </w:r>
          </w:p>
          <w:p w14:paraId="3DC9C2E4">
            <w:pPr>
              <w:pStyle w:val="47"/>
              <w:ind w:firstLine="482"/>
              <w:rPr>
                <w:b/>
                <w:bCs/>
                <w:color w:val="auto"/>
              </w:rPr>
            </w:pPr>
            <w:r>
              <w:rPr>
                <w:b/>
                <w:bCs/>
                <w:color w:val="auto"/>
              </w:rPr>
              <w:t>5）环境管理要求</w:t>
            </w:r>
          </w:p>
          <w:p w14:paraId="1DC598AE">
            <w:pPr>
              <w:pStyle w:val="47"/>
              <w:ind w:firstLine="480"/>
              <w:rPr>
                <w:color w:val="auto"/>
              </w:rPr>
            </w:pPr>
            <w:r>
              <w:rPr>
                <w:color w:val="auto"/>
              </w:rPr>
              <w:t>针对本项目正常运行阶段所产生的危险废物的日常管理提出要求：</w:t>
            </w:r>
          </w:p>
          <w:p w14:paraId="3D64A9F0">
            <w:pPr>
              <w:pStyle w:val="47"/>
              <w:ind w:firstLine="480"/>
              <w:rPr>
                <w:color w:val="auto"/>
              </w:rPr>
            </w:pPr>
            <w:r>
              <w:rPr>
                <w:color w:val="auto"/>
              </w:rPr>
              <w:t>a.履行申报登记制度；</w:t>
            </w:r>
          </w:p>
          <w:p w14:paraId="4DCC0B0D">
            <w:pPr>
              <w:pStyle w:val="47"/>
              <w:ind w:firstLine="480"/>
              <w:rPr>
                <w:color w:val="auto"/>
              </w:rPr>
            </w:pPr>
            <w:r>
              <w:rPr>
                <w:color w:val="auto"/>
              </w:rPr>
              <w:t>b.建立台账管理制度，企业须做好危险废物情况的记录，记录上需注明危险废物的名称、来源、数量、特性和包装容器的类别；</w:t>
            </w:r>
          </w:p>
          <w:p w14:paraId="42734DDA">
            <w:pPr>
              <w:pStyle w:val="47"/>
              <w:ind w:firstLine="480"/>
              <w:rPr>
                <w:color w:val="auto"/>
              </w:rPr>
            </w:pPr>
            <w:r>
              <w:rPr>
                <w:color w:val="auto"/>
              </w:rPr>
              <w:t>c.委托处置应执行报批和转移联单等制度；</w:t>
            </w:r>
          </w:p>
          <w:p w14:paraId="331A3BEB">
            <w:pPr>
              <w:pStyle w:val="47"/>
              <w:ind w:firstLine="480"/>
              <w:rPr>
                <w:color w:val="auto"/>
              </w:rPr>
            </w:pPr>
            <w:r>
              <w:rPr>
                <w:color w:val="auto"/>
              </w:rPr>
              <w:t>d.定期对暂存的危险废物包装容器及贮存设施进行检查，及早发现破损，及时采取措施清理更换；</w:t>
            </w:r>
          </w:p>
          <w:p w14:paraId="3EDCFB74">
            <w:pPr>
              <w:pStyle w:val="47"/>
              <w:ind w:firstLine="480"/>
              <w:rPr>
                <w:color w:val="auto"/>
              </w:rPr>
            </w:pPr>
            <w:r>
              <w:rPr>
                <w:color w:val="auto"/>
              </w:rPr>
              <w:t>e.危险废物的泄漏液等必须符合GB8978的要求方可排放；</w:t>
            </w:r>
          </w:p>
          <w:p w14:paraId="77F39B16">
            <w:pPr>
              <w:pStyle w:val="47"/>
              <w:ind w:firstLine="480"/>
              <w:rPr>
                <w:color w:val="auto"/>
              </w:rPr>
            </w:pPr>
            <w:r>
              <w:rPr>
                <w:color w:val="auto"/>
              </w:rPr>
              <w:t>f.直接从事收集、贮存、运输、利用、处置危险废物的人员，应当接受专业培训，经考核合格，方可从事该项工作；</w:t>
            </w:r>
          </w:p>
          <w:p w14:paraId="771074F5">
            <w:pPr>
              <w:pStyle w:val="47"/>
              <w:ind w:firstLine="480"/>
              <w:rPr>
                <w:color w:val="auto"/>
              </w:rPr>
            </w:pPr>
            <w:r>
              <w:rPr>
                <w:color w:val="auto"/>
              </w:rPr>
              <w:t>g.固废贮存（处置）场所规范化设置，固体废物贮存（处置）场所应在醒目处设置标志牌。</w:t>
            </w:r>
          </w:p>
          <w:p w14:paraId="7852F4FC">
            <w:pPr>
              <w:pStyle w:val="47"/>
              <w:ind w:firstLine="480"/>
              <w:rPr>
                <w:color w:val="auto"/>
              </w:rPr>
            </w:pPr>
            <w:r>
              <w:rPr>
                <w:color w:val="auto"/>
              </w:rPr>
              <w:t>采取以上措施后，本项目产生的危险废物均可得到有效处置，不会造成二次污染，从环保角度考虑，固体废物防治措施可行。</w:t>
            </w:r>
          </w:p>
          <w:p w14:paraId="5E792ED3">
            <w:pPr>
              <w:pStyle w:val="47"/>
              <w:ind w:firstLine="482"/>
              <w:rPr>
                <w:b/>
                <w:bCs/>
                <w:color w:val="auto"/>
              </w:rPr>
            </w:pPr>
            <w:r>
              <w:rPr>
                <w:b/>
                <w:bCs/>
                <w:color w:val="auto"/>
              </w:rPr>
              <w:t>5、地下水、土壤环境影响和保护措施</w:t>
            </w:r>
          </w:p>
          <w:p w14:paraId="1FEC8A6F">
            <w:pPr>
              <w:pStyle w:val="47"/>
              <w:ind w:firstLine="482"/>
              <w:rPr>
                <w:b/>
                <w:bCs/>
                <w:color w:val="auto"/>
              </w:rPr>
            </w:pPr>
            <w:r>
              <w:rPr>
                <w:b/>
                <w:bCs/>
                <w:color w:val="auto"/>
              </w:rPr>
              <w:t>（1）地下水控制措施</w:t>
            </w:r>
          </w:p>
          <w:p w14:paraId="448BDB82">
            <w:pPr>
              <w:pStyle w:val="47"/>
              <w:ind w:firstLine="482"/>
              <w:rPr>
                <w:b/>
                <w:bCs/>
                <w:color w:val="auto"/>
              </w:rPr>
            </w:pPr>
            <w:r>
              <w:rPr>
                <w:b/>
                <w:bCs/>
                <w:color w:val="auto"/>
              </w:rPr>
              <w:t>①源头控制措施</w:t>
            </w:r>
          </w:p>
          <w:p w14:paraId="76E843E5">
            <w:pPr>
              <w:pStyle w:val="47"/>
              <w:ind w:firstLine="480"/>
              <w:rPr>
                <w:color w:val="auto"/>
              </w:rPr>
            </w:pPr>
            <w:r>
              <w:rPr>
                <w:color w:val="auto"/>
              </w:rPr>
              <w:t>源头控制主要包括提出实施清洁生产及各类废物循环利用的具体方案，减少污染物的排放量；提出工艺、管道、设备、污水储存应采取的污染控制措施，将污染物跑、冒、滴、漏降到最低限度，降低物质泄漏和污染土壤环境的隐患。</w:t>
            </w:r>
          </w:p>
          <w:p w14:paraId="45A5DE5B">
            <w:pPr>
              <w:pStyle w:val="47"/>
              <w:ind w:firstLine="482"/>
              <w:rPr>
                <w:b/>
                <w:bCs/>
                <w:color w:val="auto"/>
              </w:rPr>
            </w:pPr>
            <w:r>
              <w:rPr>
                <w:b/>
                <w:bCs/>
                <w:color w:val="auto"/>
              </w:rPr>
              <w:t>②分区防治措施</w:t>
            </w:r>
          </w:p>
          <w:p w14:paraId="6A870C20">
            <w:pPr>
              <w:pStyle w:val="47"/>
              <w:ind w:firstLine="480"/>
              <w:rPr>
                <w:color w:val="auto"/>
              </w:rPr>
            </w:pPr>
            <w:r>
              <w:rPr>
                <w:color w:val="auto"/>
              </w:rPr>
              <w:t>本项目划分为重点防渗区、一般防渗区和简单防渗区，划分区域如</w:t>
            </w:r>
            <w:r>
              <w:rPr>
                <w:color w:val="auto"/>
              </w:rPr>
              <w:fldChar w:fldCharType="begin"/>
            </w:r>
            <w:r>
              <w:rPr>
                <w:color w:val="auto"/>
              </w:rPr>
              <w:instrText xml:space="preserve"> REF _Ref26467 \h </w:instrText>
            </w:r>
            <w:r>
              <w:rPr>
                <w:color w:val="auto"/>
              </w:rPr>
              <w:fldChar w:fldCharType="separate"/>
            </w:r>
            <w:r>
              <w:rPr>
                <w:color w:val="auto"/>
              </w:rPr>
              <w:t>表4- 23</w:t>
            </w:r>
            <w:r>
              <w:rPr>
                <w:color w:val="auto"/>
              </w:rPr>
              <w:fldChar w:fldCharType="end"/>
            </w:r>
            <w:r>
              <w:rPr>
                <w:color w:val="auto"/>
              </w:rPr>
              <w:t>。</w:t>
            </w:r>
          </w:p>
          <w:p w14:paraId="4D02EBA1">
            <w:pPr>
              <w:pStyle w:val="7"/>
              <w:rPr>
                <w:color w:val="auto"/>
              </w:rPr>
            </w:pPr>
            <w:bookmarkStart w:id="86" w:name="_Ref26467"/>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23</w:t>
            </w:r>
            <w:r>
              <w:rPr>
                <w:color w:val="auto"/>
              </w:rPr>
              <w:fldChar w:fldCharType="end"/>
            </w:r>
            <w:bookmarkEnd w:id="86"/>
            <w:r>
              <w:rPr>
                <w:color w:val="auto"/>
              </w:rPr>
              <w:t xml:space="preserve"> 项目分区防渗一览表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978"/>
              <w:gridCol w:w="4221"/>
            </w:tblGrid>
            <w:tr w14:paraId="1D41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Align w:val="center"/>
                </w:tcPr>
                <w:p w14:paraId="678FB90F">
                  <w:pPr>
                    <w:pStyle w:val="49"/>
                    <w:rPr>
                      <w:color w:val="auto"/>
                    </w:rPr>
                  </w:pPr>
                  <w:r>
                    <w:rPr>
                      <w:color w:val="auto"/>
                    </w:rPr>
                    <w:t>防渗分区</w:t>
                  </w:r>
                </w:p>
              </w:tc>
              <w:tc>
                <w:tcPr>
                  <w:tcW w:w="2978" w:type="dxa"/>
                  <w:vAlign w:val="center"/>
                </w:tcPr>
                <w:p w14:paraId="45D4BC2A">
                  <w:pPr>
                    <w:pStyle w:val="49"/>
                    <w:rPr>
                      <w:color w:val="auto"/>
                    </w:rPr>
                  </w:pPr>
                  <w:r>
                    <w:rPr>
                      <w:color w:val="auto"/>
                    </w:rPr>
                    <w:t>具体范围</w:t>
                  </w:r>
                </w:p>
              </w:tc>
              <w:tc>
                <w:tcPr>
                  <w:tcW w:w="4221" w:type="dxa"/>
                  <w:vAlign w:val="center"/>
                </w:tcPr>
                <w:p w14:paraId="6A55D700">
                  <w:pPr>
                    <w:pStyle w:val="49"/>
                    <w:rPr>
                      <w:color w:val="auto"/>
                    </w:rPr>
                  </w:pPr>
                  <w:r>
                    <w:rPr>
                      <w:color w:val="auto"/>
                    </w:rPr>
                    <w:t>防渗要求</w:t>
                  </w:r>
                </w:p>
              </w:tc>
            </w:tr>
            <w:tr w14:paraId="69C6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9" w:type="dxa"/>
                  <w:vMerge w:val="restart"/>
                  <w:vAlign w:val="center"/>
                </w:tcPr>
                <w:p w14:paraId="6F67A0F2">
                  <w:pPr>
                    <w:pStyle w:val="51"/>
                    <w:rPr>
                      <w:color w:val="auto"/>
                    </w:rPr>
                  </w:pPr>
                  <w:r>
                    <w:rPr>
                      <w:color w:val="auto"/>
                    </w:rPr>
                    <w:t>重点防渗</w:t>
                  </w:r>
                </w:p>
              </w:tc>
              <w:tc>
                <w:tcPr>
                  <w:tcW w:w="2978" w:type="dxa"/>
                  <w:vAlign w:val="center"/>
                </w:tcPr>
                <w:p w14:paraId="09EA1A1A">
                  <w:pPr>
                    <w:pStyle w:val="51"/>
                    <w:rPr>
                      <w:color w:val="auto"/>
                    </w:rPr>
                  </w:pPr>
                  <w:r>
                    <w:rPr>
                      <w:color w:val="auto"/>
                    </w:rPr>
                    <w:t>危废</w:t>
                  </w:r>
                  <w:r>
                    <w:rPr>
                      <w:rFonts w:hint="eastAsia"/>
                      <w:color w:val="auto"/>
                    </w:rPr>
                    <w:t>库</w:t>
                  </w:r>
                </w:p>
              </w:tc>
              <w:tc>
                <w:tcPr>
                  <w:tcW w:w="4221" w:type="dxa"/>
                  <w:vMerge w:val="restart"/>
                  <w:vAlign w:val="center"/>
                </w:tcPr>
                <w:p w14:paraId="1547A29F">
                  <w:pPr>
                    <w:pStyle w:val="51"/>
                    <w:rPr>
                      <w:color w:val="auto"/>
                    </w:rPr>
                  </w:pPr>
                  <w:r>
                    <w:rPr>
                      <w:color w:val="auto"/>
                    </w:rPr>
                    <w:t>等效粘土防渗层Mb≥6.0m，K≤1×10</w:t>
                  </w:r>
                  <w:r>
                    <w:rPr>
                      <w:color w:val="auto"/>
                      <w:vertAlign w:val="superscript"/>
                    </w:rPr>
                    <w:t>-10</w:t>
                  </w:r>
                  <w:r>
                    <w:rPr>
                      <w:color w:val="auto"/>
                    </w:rPr>
                    <w:t>cm/s；或参照GB18598执行</w:t>
                  </w:r>
                </w:p>
              </w:tc>
            </w:tr>
            <w:tr w14:paraId="1D4D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vAlign w:val="center"/>
                </w:tcPr>
                <w:p w14:paraId="41BDDA8D">
                  <w:pPr>
                    <w:rPr>
                      <w:color w:val="auto"/>
                    </w:rPr>
                  </w:pPr>
                </w:p>
              </w:tc>
              <w:tc>
                <w:tcPr>
                  <w:tcW w:w="2978" w:type="dxa"/>
                  <w:vAlign w:val="center"/>
                </w:tcPr>
                <w:p w14:paraId="6E61AEC5">
                  <w:pPr>
                    <w:pStyle w:val="51"/>
                    <w:rPr>
                      <w:color w:val="auto"/>
                    </w:rPr>
                  </w:pPr>
                  <w:r>
                    <w:rPr>
                      <w:rFonts w:hint="eastAsia"/>
                      <w:color w:val="auto"/>
                      <w:lang w:val="en-US" w:eastAsia="zh-CN"/>
                    </w:rPr>
                    <w:t>原料库</w:t>
                  </w:r>
                  <w:r>
                    <w:rPr>
                      <w:color w:val="auto"/>
                    </w:rPr>
                    <w:t>（</w:t>
                  </w:r>
                  <w:r>
                    <w:rPr>
                      <w:rFonts w:hint="eastAsia"/>
                      <w:color w:val="auto"/>
                      <w:lang w:val="en-US" w:eastAsia="zh-CN"/>
                    </w:rPr>
                    <w:t>机油、加弹油剂</w:t>
                  </w:r>
                  <w:r>
                    <w:rPr>
                      <w:color w:val="auto"/>
                    </w:rPr>
                    <w:t>）</w:t>
                  </w:r>
                </w:p>
              </w:tc>
              <w:tc>
                <w:tcPr>
                  <w:tcW w:w="4221" w:type="dxa"/>
                  <w:vMerge w:val="continue"/>
                  <w:vAlign w:val="center"/>
                </w:tcPr>
                <w:p w14:paraId="42D8172C">
                  <w:pPr>
                    <w:rPr>
                      <w:color w:val="auto"/>
                    </w:rPr>
                  </w:pPr>
                </w:p>
              </w:tc>
            </w:tr>
            <w:tr w14:paraId="0313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209" w:type="dxa"/>
                  <w:vAlign w:val="center"/>
                </w:tcPr>
                <w:p w14:paraId="79DA5FB9">
                  <w:pPr>
                    <w:pStyle w:val="51"/>
                    <w:rPr>
                      <w:color w:val="auto"/>
                    </w:rPr>
                  </w:pPr>
                  <w:r>
                    <w:rPr>
                      <w:color w:val="auto"/>
                    </w:rPr>
                    <w:t>一般防渗</w:t>
                  </w:r>
                </w:p>
              </w:tc>
              <w:tc>
                <w:tcPr>
                  <w:tcW w:w="2978" w:type="dxa"/>
                  <w:vAlign w:val="center"/>
                </w:tcPr>
                <w:p w14:paraId="23A3AA8F">
                  <w:pPr>
                    <w:pStyle w:val="51"/>
                    <w:rPr>
                      <w:rFonts w:hint="default" w:eastAsia="宋体"/>
                      <w:color w:val="auto"/>
                      <w:lang w:val="en-US" w:eastAsia="zh-CN"/>
                    </w:rPr>
                  </w:pPr>
                  <w:r>
                    <w:rPr>
                      <w:rFonts w:hint="eastAsia"/>
                      <w:color w:val="auto"/>
                      <w:lang w:val="en-US" w:eastAsia="zh-CN"/>
                    </w:rPr>
                    <w:t>原料库、成品库</w:t>
                  </w:r>
                </w:p>
              </w:tc>
              <w:tc>
                <w:tcPr>
                  <w:tcW w:w="4221" w:type="dxa"/>
                  <w:vAlign w:val="center"/>
                </w:tcPr>
                <w:p w14:paraId="5FBE1889">
                  <w:pPr>
                    <w:pStyle w:val="51"/>
                    <w:rPr>
                      <w:color w:val="auto"/>
                    </w:rPr>
                  </w:pPr>
                  <w:r>
                    <w:rPr>
                      <w:color w:val="auto"/>
                    </w:rPr>
                    <w:t>等效粘土防渗层Mb≥1.5m，K≤1×10</w:t>
                  </w:r>
                  <w:r>
                    <w:rPr>
                      <w:color w:val="auto"/>
                      <w:vertAlign w:val="superscript"/>
                    </w:rPr>
                    <w:t>-7</w:t>
                  </w:r>
                  <w:r>
                    <w:rPr>
                      <w:color w:val="auto"/>
                    </w:rPr>
                    <w:t>cm/s；或参照GB16889执行</w:t>
                  </w:r>
                </w:p>
              </w:tc>
            </w:tr>
            <w:tr w14:paraId="0278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Align w:val="center"/>
                </w:tcPr>
                <w:p w14:paraId="46D44FC6">
                  <w:pPr>
                    <w:pStyle w:val="51"/>
                    <w:rPr>
                      <w:color w:val="auto"/>
                    </w:rPr>
                  </w:pPr>
                  <w:r>
                    <w:rPr>
                      <w:color w:val="auto"/>
                    </w:rPr>
                    <w:t>简单防渗</w:t>
                  </w:r>
                </w:p>
              </w:tc>
              <w:tc>
                <w:tcPr>
                  <w:tcW w:w="2978" w:type="dxa"/>
                  <w:vAlign w:val="center"/>
                </w:tcPr>
                <w:p w14:paraId="3060D119">
                  <w:pPr>
                    <w:pStyle w:val="51"/>
                    <w:rPr>
                      <w:color w:val="auto"/>
                    </w:rPr>
                  </w:pPr>
                  <w:r>
                    <w:rPr>
                      <w:color w:val="auto"/>
                    </w:rPr>
                    <w:t>综合楼</w:t>
                  </w:r>
                </w:p>
              </w:tc>
              <w:tc>
                <w:tcPr>
                  <w:tcW w:w="4221" w:type="dxa"/>
                  <w:vAlign w:val="center"/>
                </w:tcPr>
                <w:p w14:paraId="52E604C5">
                  <w:pPr>
                    <w:pStyle w:val="51"/>
                    <w:rPr>
                      <w:color w:val="auto"/>
                    </w:rPr>
                  </w:pPr>
                  <w:r>
                    <w:rPr>
                      <w:color w:val="auto"/>
                    </w:rPr>
                    <w:t>一般地面硬化</w:t>
                  </w:r>
                </w:p>
              </w:tc>
            </w:tr>
          </w:tbl>
          <w:p w14:paraId="2F65EB10">
            <w:pPr>
              <w:pStyle w:val="47"/>
              <w:ind w:firstLine="482"/>
              <w:rPr>
                <w:b/>
                <w:bCs/>
                <w:color w:val="auto"/>
              </w:rPr>
            </w:pPr>
            <w:r>
              <w:rPr>
                <w:b/>
                <w:bCs/>
                <w:color w:val="auto"/>
              </w:rPr>
              <w:t>③管理措施</w:t>
            </w:r>
          </w:p>
          <w:p w14:paraId="24CB36C5">
            <w:pPr>
              <w:pStyle w:val="47"/>
              <w:ind w:firstLine="480"/>
              <w:rPr>
                <w:color w:val="auto"/>
              </w:rPr>
            </w:pPr>
            <w:r>
              <w:rPr>
                <w:color w:val="auto"/>
              </w:rPr>
              <w:t>1）加强环境管理，液态危险废物下方设置托盘，设置空桶作为备用收容设施。</w:t>
            </w:r>
          </w:p>
          <w:p w14:paraId="11671985">
            <w:pPr>
              <w:pStyle w:val="47"/>
              <w:ind w:firstLine="480"/>
              <w:rPr>
                <w:color w:val="auto"/>
              </w:rPr>
            </w:pPr>
            <w:r>
              <w:rPr>
                <w:color w:val="auto"/>
              </w:rPr>
              <w:t>2）落实防渗措施，严格按照分区防渗措施进行防渗处理，防渗工程设计使用年限宜按50年进行设计，防渗材料必须符合防渗系数要求。</w:t>
            </w:r>
          </w:p>
          <w:p w14:paraId="4E993507">
            <w:pPr>
              <w:pStyle w:val="47"/>
              <w:ind w:firstLine="480"/>
              <w:rPr>
                <w:color w:val="auto"/>
              </w:rPr>
            </w:pPr>
            <w:r>
              <w:rPr>
                <w:color w:val="auto"/>
              </w:rPr>
              <w:t>3）落实突发环境事件应急防范措施，防范风险事故对地下水的影响。</w:t>
            </w:r>
          </w:p>
          <w:p w14:paraId="43FE270A">
            <w:pPr>
              <w:pStyle w:val="47"/>
              <w:ind w:firstLine="480"/>
              <w:rPr>
                <w:color w:val="auto"/>
              </w:rPr>
            </w:pPr>
            <w:r>
              <w:rPr>
                <w:color w:val="auto"/>
              </w:rPr>
              <w:t>本项目防渗工程措施严格执行“源头控制、分区防治、污染监控、应急响应”的原则，采取上述防渗措施后，项目对地下水基本不会造成影响。</w:t>
            </w:r>
          </w:p>
          <w:p w14:paraId="2B03D565">
            <w:pPr>
              <w:pStyle w:val="47"/>
              <w:ind w:firstLine="482"/>
              <w:rPr>
                <w:b/>
                <w:bCs/>
                <w:color w:val="auto"/>
              </w:rPr>
            </w:pPr>
            <w:r>
              <w:rPr>
                <w:b/>
                <w:bCs/>
                <w:color w:val="auto"/>
              </w:rPr>
              <w:t>（2）土壤防治措施</w:t>
            </w:r>
          </w:p>
          <w:p w14:paraId="3B97AD75">
            <w:pPr>
              <w:pStyle w:val="47"/>
              <w:ind w:firstLine="480"/>
              <w:rPr>
                <w:color w:val="auto"/>
              </w:rPr>
            </w:pPr>
            <w:r>
              <w:rPr>
                <w:color w:val="auto"/>
              </w:rPr>
              <w:t>本项目严格执行分区防渗措施，厂区内地面全部硬化，硬化层大于15cm，距离地下土壤层较远。同时，本项目废气污染物排放量较小，可经过收集治理后达标排放，且不含重金属物质，废气排放对周边土壤环境影响在可接受范围内。本项目外排污水处理达标后可通过污水管网进入污水处理厂处理后达标排放，不会直排地表水体，厂区内外地面均已硬化，不会因地面漫流造成土壤污染。此外，各项固体废物均分类收集并进行合理无害化处置。因此，本项目运营对区域土壤环境影响较小。</w:t>
            </w:r>
          </w:p>
          <w:p w14:paraId="5E42C492">
            <w:pPr>
              <w:pStyle w:val="47"/>
              <w:ind w:firstLine="482"/>
              <w:rPr>
                <w:b/>
                <w:bCs/>
                <w:color w:val="auto"/>
              </w:rPr>
            </w:pPr>
            <w:r>
              <w:rPr>
                <w:b/>
                <w:bCs/>
                <w:color w:val="auto"/>
              </w:rPr>
              <w:t>（3）监测计划</w:t>
            </w:r>
          </w:p>
          <w:p w14:paraId="3AFC7E14">
            <w:pPr>
              <w:pStyle w:val="47"/>
              <w:ind w:firstLine="480"/>
              <w:rPr>
                <w:color w:val="auto"/>
              </w:rPr>
            </w:pPr>
            <w:r>
              <w:rPr>
                <w:color w:val="auto"/>
              </w:rPr>
              <w:t>根据《排污单位自行监测技术指南 总则》（HJ819-2017）：“涉重金属、难降解类有机污染物等重点排污单位土壤、地下水每年至少监测一次”，本项目不涉及重金属、难降解类有机污染物，可不进行土壤、地下水跟踪监测。</w:t>
            </w:r>
          </w:p>
          <w:p w14:paraId="3556C403">
            <w:pPr>
              <w:pStyle w:val="47"/>
              <w:ind w:firstLine="482"/>
              <w:rPr>
                <w:b/>
                <w:bCs/>
                <w:color w:val="auto"/>
              </w:rPr>
            </w:pPr>
            <w:r>
              <w:rPr>
                <w:b/>
                <w:bCs/>
                <w:color w:val="auto"/>
              </w:rPr>
              <w:t>6、环境风险影响分析</w:t>
            </w:r>
          </w:p>
          <w:p w14:paraId="7229586D">
            <w:pPr>
              <w:pStyle w:val="47"/>
              <w:ind w:firstLine="482"/>
              <w:rPr>
                <w:b/>
                <w:bCs/>
                <w:color w:val="auto"/>
              </w:rPr>
            </w:pPr>
            <w:r>
              <w:rPr>
                <w:b/>
                <w:bCs/>
                <w:color w:val="auto"/>
              </w:rPr>
              <w:t>（1）风险物质数量与临界量比值Q计算</w:t>
            </w:r>
          </w:p>
          <w:p w14:paraId="5E7F34A9">
            <w:pPr>
              <w:pStyle w:val="47"/>
              <w:ind w:firstLine="480"/>
              <w:rPr>
                <w:color w:val="auto"/>
              </w:rPr>
            </w:pPr>
            <w:r>
              <w:rPr>
                <w:color w:val="auto"/>
              </w:rPr>
              <w:t>根据《建设项目环境风险评价技术导则》（HJ169-2018）附录C中“C.1.1危险物种数量与临界量比值（Q）”计算所涉及的每种危险物质在厂界内的最大存在总量与其在附录B中对应临界量的比值计算Q值。</w:t>
            </w:r>
          </w:p>
          <w:p w14:paraId="6DB0F927">
            <w:pPr>
              <w:pStyle w:val="47"/>
              <w:ind w:firstLine="0" w:firstLineChars="0"/>
              <w:jc w:val="center"/>
              <w:rPr>
                <w:color w:val="auto"/>
                <w:position w:val="-10"/>
              </w:rPr>
            </w:pPr>
            <w:r>
              <w:rPr>
                <w:color w:val="auto"/>
                <w:position w:val="-14"/>
              </w:rPr>
              <w:object>
                <v:shape id="_x0000_i1033" o:spt="75" type="#_x0000_t75" style="height:27.55pt;width:104.9pt;" o:ole="t" filled="f" o:preferrelative="t" stroked="f" coordsize="21600,21600">
                  <v:path/>
                  <v:fill on="f" focussize="0,0"/>
                  <v:stroke on="f" joinstyle="miter"/>
                  <v:imagedata r:id="rId32" o:title=""/>
                  <o:lock v:ext="edit" aspectratio="t"/>
                  <w10:wrap type="none"/>
                  <w10:anchorlock/>
                </v:shape>
                <o:OLEObject Type="Embed" ProgID="Equation.3" ShapeID="_x0000_i1033" DrawAspect="Content" ObjectID="_1468075733" r:id="rId31">
                  <o:LockedField>false</o:LockedField>
                </o:OLEObject>
              </w:object>
            </w:r>
          </w:p>
          <w:p w14:paraId="25D1429B">
            <w:pPr>
              <w:pStyle w:val="47"/>
              <w:ind w:firstLine="480"/>
              <w:rPr>
                <w:color w:val="auto"/>
              </w:rPr>
            </w:pPr>
            <w:r>
              <w:rPr>
                <w:color w:val="auto"/>
              </w:rPr>
              <w:t>式中：q</w:t>
            </w:r>
            <w:r>
              <w:rPr>
                <w:color w:val="auto"/>
                <w:vertAlign w:val="subscript"/>
              </w:rPr>
              <w:t>1</w:t>
            </w:r>
            <w:r>
              <w:rPr>
                <w:color w:val="auto"/>
              </w:rPr>
              <w:t>、q</w:t>
            </w:r>
            <w:r>
              <w:rPr>
                <w:color w:val="auto"/>
                <w:vertAlign w:val="subscript"/>
              </w:rPr>
              <w:t>2</w:t>
            </w:r>
            <w:r>
              <w:rPr>
                <w:color w:val="auto"/>
              </w:rPr>
              <w:t>、…q</w:t>
            </w:r>
            <w:r>
              <w:rPr>
                <w:color w:val="auto"/>
                <w:vertAlign w:val="subscript"/>
              </w:rPr>
              <w:t>n</w:t>
            </w:r>
            <w:r>
              <w:rPr>
                <w:color w:val="auto"/>
              </w:rPr>
              <w:t>——每种风险物质的存在总量，t；</w:t>
            </w:r>
          </w:p>
          <w:p w14:paraId="68357764">
            <w:pPr>
              <w:pStyle w:val="47"/>
              <w:ind w:left="1155" w:leftChars="550" w:firstLine="0" w:firstLineChars="0"/>
              <w:rPr>
                <w:color w:val="auto"/>
              </w:rPr>
            </w:pPr>
            <w:r>
              <w:rPr>
                <w:color w:val="auto"/>
              </w:rPr>
              <w:t>Q</w:t>
            </w:r>
            <w:r>
              <w:rPr>
                <w:color w:val="auto"/>
                <w:vertAlign w:val="subscript"/>
              </w:rPr>
              <w:t>1</w:t>
            </w:r>
            <w:r>
              <w:rPr>
                <w:color w:val="auto"/>
              </w:rPr>
              <w:t>、Q</w:t>
            </w:r>
            <w:r>
              <w:rPr>
                <w:color w:val="auto"/>
                <w:vertAlign w:val="subscript"/>
              </w:rPr>
              <w:t>2</w:t>
            </w:r>
            <w:r>
              <w:rPr>
                <w:color w:val="auto"/>
              </w:rPr>
              <w:t>、Q</w:t>
            </w:r>
            <w:r>
              <w:rPr>
                <w:color w:val="auto"/>
                <w:vertAlign w:val="subscript"/>
              </w:rPr>
              <w:t>3</w:t>
            </w:r>
            <w:r>
              <w:rPr>
                <w:color w:val="auto"/>
              </w:rPr>
              <w:t>——每种风险物质的临界量，t。</w:t>
            </w:r>
          </w:p>
          <w:p w14:paraId="2BC6518A">
            <w:pPr>
              <w:pStyle w:val="47"/>
              <w:ind w:firstLine="480"/>
              <w:rPr>
                <w:color w:val="auto"/>
              </w:rPr>
            </w:pPr>
            <w:r>
              <w:rPr>
                <w:color w:val="auto"/>
              </w:rPr>
              <w:t>本项目建设后，涉及到的风险物质主要为</w:t>
            </w:r>
            <w:r>
              <w:rPr>
                <w:rFonts w:hint="eastAsia"/>
                <w:color w:val="auto"/>
              </w:rPr>
              <w:t>加弹剂油</w:t>
            </w:r>
            <w:r>
              <w:rPr>
                <w:rFonts w:hint="eastAsia"/>
                <w:color w:val="auto"/>
                <w:lang w:eastAsia="zh-CN"/>
              </w:rPr>
              <w:t>、</w:t>
            </w:r>
            <w:r>
              <w:rPr>
                <w:rFonts w:hint="eastAsia"/>
                <w:color w:val="auto"/>
              </w:rPr>
              <w:t>机油</w:t>
            </w:r>
            <w:r>
              <w:rPr>
                <w:rFonts w:hint="eastAsia"/>
                <w:color w:val="auto"/>
                <w:lang w:eastAsia="zh-CN"/>
              </w:rPr>
              <w:t>、</w:t>
            </w:r>
            <w:r>
              <w:rPr>
                <w:rFonts w:hint="eastAsia"/>
                <w:color w:val="auto"/>
                <w:lang w:val="en-US" w:eastAsia="zh-CN"/>
              </w:rPr>
              <w:t>PFS</w:t>
            </w:r>
            <w:r>
              <w:rPr>
                <w:color w:val="auto"/>
              </w:rPr>
              <w:t>以及危险固废</w:t>
            </w:r>
            <w:r>
              <w:rPr>
                <w:rFonts w:hint="eastAsia"/>
                <w:color w:val="auto"/>
              </w:rPr>
              <w:t>。</w:t>
            </w:r>
            <w:r>
              <w:rPr>
                <w:color w:val="auto"/>
              </w:rPr>
              <w:t>根据《建设项目环境风险评价技术导则》（HJ169-2018）附录B和《危险化学品重大危险源辨识》（GB18218-2021）中所列风险物质。本项目风险物质的存在量及临界量见</w:t>
            </w:r>
            <w:r>
              <w:rPr>
                <w:color w:val="auto"/>
              </w:rPr>
              <w:fldChar w:fldCharType="begin"/>
            </w:r>
            <w:r>
              <w:rPr>
                <w:color w:val="auto"/>
              </w:rPr>
              <w:instrText xml:space="preserve"> REF _Ref6428 \h </w:instrText>
            </w:r>
            <w:r>
              <w:rPr>
                <w:color w:val="auto"/>
              </w:rPr>
              <w:fldChar w:fldCharType="separate"/>
            </w:r>
            <w:r>
              <w:rPr>
                <w:color w:val="auto"/>
              </w:rPr>
              <w:t>表4- 24</w:t>
            </w:r>
            <w:r>
              <w:rPr>
                <w:color w:val="auto"/>
              </w:rPr>
              <w:fldChar w:fldCharType="end"/>
            </w:r>
            <w:r>
              <w:rPr>
                <w:color w:val="auto"/>
              </w:rPr>
              <w:t>。</w:t>
            </w:r>
          </w:p>
          <w:p w14:paraId="59AD0C57">
            <w:pPr>
              <w:pStyle w:val="7"/>
              <w:rPr>
                <w:color w:val="auto"/>
              </w:rPr>
            </w:pPr>
            <w:bookmarkStart w:id="87" w:name="_Ref6428"/>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24</w:t>
            </w:r>
            <w:r>
              <w:rPr>
                <w:color w:val="auto"/>
              </w:rPr>
              <w:fldChar w:fldCharType="end"/>
            </w:r>
            <w:bookmarkEnd w:id="87"/>
            <w:r>
              <w:rPr>
                <w:color w:val="auto"/>
              </w:rPr>
              <w:t xml:space="preserve"> 项目Q值确定表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44"/>
              <w:gridCol w:w="2146"/>
              <w:gridCol w:w="705"/>
              <w:gridCol w:w="1080"/>
              <w:gridCol w:w="982"/>
              <w:gridCol w:w="1179"/>
              <w:gridCol w:w="653"/>
            </w:tblGrid>
            <w:tr w14:paraId="3DA6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 w:type="pct"/>
                  <w:tcBorders>
                    <w:tl2br w:val="nil"/>
                    <w:tr2bl w:val="nil"/>
                  </w:tcBorders>
                  <w:vAlign w:val="center"/>
                </w:tcPr>
                <w:p w14:paraId="60295691">
                  <w:pPr>
                    <w:pStyle w:val="49"/>
                    <w:rPr>
                      <w:color w:val="auto"/>
                    </w:rPr>
                  </w:pPr>
                  <w:r>
                    <w:rPr>
                      <w:color w:val="auto"/>
                    </w:rPr>
                    <w:t>序号</w:t>
                  </w:r>
                </w:p>
              </w:tc>
              <w:tc>
                <w:tcPr>
                  <w:tcW w:w="739" w:type="pct"/>
                  <w:tcBorders>
                    <w:tl2br w:val="nil"/>
                    <w:tr2bl w:val="nil"/>
                  </w:tcBorders>
                  <w:vAlign w:val="center"/>
                </w:tcPr>
                <w:p w14:paraId="2FC40819">
                  <w:pPr>
                    <w:pStyle w:val="49"/>
                    <w:rPr>
                      <w:color w:val="auto"/>
                    </w:rPr>
                  </w:pPr>
                  <w:r>
                    <w:rPr>
                      <w:color w:val="auto"/>
                    </w:rPr>
                    <w:t>危险物质</w:t>
                  </w:r>
                </w:p>
                <w:p w14:paraId="4F6DA638">
                  <w:pPr>
                    <w:pStyle w:val="49"/>
                    <w:rPr>
                      <w:color w:val="auto"/>
                    </w:rPr>
                  </w:pPr>
                  <w:r>
                    <w:rPr>
                      <w:color w:val="auto"/>
                    </w:rPr>
                    <w:t>名称</w:t>
                  </w:r>
                </w:p>
              </w:tc>
              <w:tc>
                <w:tcPr>
                  <w:tcW w:w="1276" w:type="pct"/>
                  <w:tcBorders>
                    <w:tl2br w:val="nil"/>
                    <w:tr2bl w:val="nil"/>
                  </w:tcBorders>
                  <w:vAlign w:val="center"/>
                </w:tcPr>
                <w:p w14:paraId="19CF47D1">
                  <w:pPr>
                    <w:pStyle w:val="49"/>
                    <w:rPr>
                      <w:color w:val="auto"/>
                    </w:rPr>
                  </w:pPr>
                  <w:r>
                    <w:rPr>
                      <w:color w:val="auto"/>
                    </w:rPr>
                    <w:t>CAS号</w:t>
                  </w:r>
                </w:p>
              </w:tc>
              <w:tc>
                <w:tcPr>
                  <w:tcW w:w="419" w:type="pct"/>
                  <w:tcBorders>
                    <w:tl2br w:val="nil"/>
                    <w:tr2bl w:val="nil"/>
                  </w:tcBorders>
                  <w:vAlign w:val="center"/>
                </w:tcPr>
                <w:p w14:paraId="4B483477">
                  <w:pPr>
                    <w:pStyle w:val="49"/>
                    <w:rPr>
                      <w:color w:val="auto"/>
                    </w:rPr>
                  </w:pPr>
                  <w:r>
                    <w:rPr>
                      <w:color w:val="auto"/>
                    </w:rPr>
                    <w:t>风险</w:t>
                  </w:r>
                </w:p>
                <w:p w14:paraId="798C6AB7">
                  <w:pPr>
                    <w:pStyle w:val="49"/>
                    <w:rPr>
                      <w:color w:val="auto"/>
                    </w:rPr>
                  </w:pPr>
                  <w:r>
                    <w:rPr>
                      <w:color w:val="auto"/>
                    </w:rPr>
                    <w:t>类型</w:t>
                  </w:r>
                </w:p>
              </w:tc>
              <w:tc>
                <w:tcPr>
                  <w:tcW w:w="642" w:type="pct"/>
                  <w:tcBorders>
                    <w:tl2br w:val="nil"/>
                    <w:tr2bl w:val="nil"/>
                  </w:tcBorders>
                  <w:vAlign w:val="center"/>
                </w:tcPr>
                <w:p w14:paraId="6CCCE351">
                  <w:pPr>
                    <w:pStyle w:val="49"/>
                    <w:rPr>
                      <w:color w:val="auto"/>
                    </w:rPr>
                  </w:pPr>
                  <w:r>
                    <w:rPr>
                      <w:color w:val="auto"/>
                    </w:rPr>
                    <w:t>全厂最大存在总量（t）</w:t>
                  </w:r>
                </w:p>
              </w:tc>
              <w:tc>
                <w:tcPr>
                  <w:tcW w:w="583" w:type="pct"/>
                  <w:tcBorders>
                    <w:tl2br w:val="nil"/>
                    <w:tr2bl w:val="nil"/>
                  </w:tcBorders>
                  <w:vAlign w:val="center"/>
                </w:tcPr>
                <w:p w14:paraId="715FCC7D">
                  <w:pPr>
                    <w:pStyle w:val="49"/>
                    <w:rPr>
                      <w:color w:val="auto"/>
                    </w:rPr>
                  </w:pPr>
                  <w:r>
                    <w:rPr>
                      <w:color w:val="auto"/>
                    </w:rPr>
                    <w:t>临界量</w:t>
                  </w:r>
                </w:p>
                <w:p w14:paraId="6ABBA28B">
                  <w:pPr>
                    <w:pStyle w:val="49"/>
                    <w:rPr>
                      <w:color w:val="auto"/>
                    </w:rPr>
                  </w:pPr>
                  <w:r>
                    <w:rPr>
                      <w:color w:val="auto"/>
                    </w:rPr>
                    <w:t>（Qn/t）</w:t>
                  </w:r>
                </w:p>
              </w:tc>
              <w:tc>
                <w:tcPr>
                  <w:tcW w:w="701" w:type="pct"/>
                  <w:tcBorders>
                    <w:tl2br w:val="nil"/>
                    <w:tr2bl w:val="nil"/>
                  </w:tcBorders>
                  <w:vAlign w:val="center"/>
                </w:tcPr>
                <w:p w14:paraId="383E7435">
                  <w:pPr>
                    <w:pStyle w:val="49"/>
                    <w:rPr>
                      <w:color w:val="auto"/>
                    </w:rPr>
                  </w:pPr>
                  <w:r>
                    <w:rPr>
                      <w:color w:val="auto"/>
                    </w:rPr>
                    <w:t>该种危险物质Q值</w:t>
                  </w:r>
                </w:p>
              </w:tc>
              <w:tc>
                <w:tcPr>
                  <w:tcW w:w="388" w:type="pct"/>
                  <w:tcBorders>
                    <w:tl2br w:val="nil"/>
                    <w:tr2bl w:val="nil"/>
                  </w:tcBorders>
                  <w:vAlign w:val="center"/>
                </w:tcPr>
                <w:p w14:paraId="5852D5BD">
                  <w:pPr>
                    <w:pStyle w:val="49"/>
                    <w:rPr>
                      <w:color w:val="auto"/>
                    </w:rPr>
                  </w:pPr>
                  <w:r>
                    <w:rPr>
                      <w:color w:val="auto"/>
                    </w:rPr>
                    <w:t>储存位置</w:t>
                  </w:r>
                </w:p>
              </w:tc>
            </w:tr>
            <w:tr w14:paraId="2460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 w:type="pct"/>
                  <w:tcBorders>
                    <w:tl2br w:val="nil"/>
                    <w:tr2bl w:val="nil"/>
                  </w:tcBorders>
                  <w:vAlign w:val="center"/>
                </w:tcPr>
                <w:p w14:paraId="11EFC4D9">
                  <w:pPr>
                    <w:pStyle w:val="51"/>
                    <w:bidi w:val="0"/>
                    <w:rPr>
                      <w:color w:val="auto"/>
                    </w:rPr>
                  </w:pPr>
                  <w:r>
                    <w:rPr>
                      <w:color w:val="auto"/>
                    </w:rPr>
                    <w:t>1</w:t>
                  </w:r>
                </w:p>
              </w:tc>
              <w:tc>
                <w:tcPr>
                  <w:tcW w:w="739" w:type="pct"/>
                  <w:tcBorders>
                    <w:tl2br w:val="nil"/>
                    <w:tr2bl w:val="nil"/>
                  </w:tcBorders>
                  <w:vAlign w:val="center"/>
                </w:tcPr>
                <w:p w14:paraId="17FE3059">
                  <w:pPr>
                    <w:pStyle w:val="51"/>
                    <w:bidi w:val="0"/>
                    <w:rPr>
                      <w:color w:val="auto"/>
                    </w:rPr>
                  </w:pPr>
                  <w:r>
                    <w:rPr>
                      <w:rFonts w:hint="eastAsia"/>
                      <w:color w:val="auto"/>
                    </w:rPr>
                    <w:t>加弹剂油</w:t>
                  </w:r>
                </w:p>
              </w:tc>
              <w:tc>
                <w:tcPr>
                  <w:tcW w:w="1276" w:type="pct"/>
                  <w:tcBorders>
                    <w:tl2br w:val="nil"/>
                    <w:tr2bl w:val="nil"/>
                  </w:tcBorders>
                  <w:vAlign w:val="center"/>
                </w:tcPr>
                <w:p w14:paraId="1728104C">
                  <w:pPr>
                    <w:pStyle w:val="51"/>
                    <w:bidi w:val="0"/>
                    <w:rPr>
                      <w:color w:val="auto"/>
                    </w:rPr>
                  </w:pPr>
                  <w:r>
                    <w:rPr>
                      <w:rFonts w:hint="eastAsia"/>
                      <w:color w:val="auto"/>
                    </w:rPr>
                    <w:t>W5,3 不属于W5,1或W5,2的其他类别2</w:t>
                  </w:r>
                </w:p>
              </w:tc>
              <w:tc>
                <w:tcPr>
                  <w:tcW w:w="419" w:type="pct"/>
                  <w:tcBorders>
                    <w:tl2br w:val="nil"/>
                    <w:tr2bl w:val="nil"/>
                  </w:tcBorders>
                  <w:vAlign w:val="center"/>
                </w:tcPr>
                <w:p w14:paraId="40C74079">
                  <w:pPr>
                    <w:pStyle w:val="51"/>
                    <w:bidi w:val="0"/>
                    <w:rPr>
                      <w:color w:val="auto"/>
                    </w:rPr>
                  </w:pPr>
                  <w:r>
                    <w:rPr>
                      <w:color w:val="auto"/>
                    </w:rPr>
                    <w:t>易燃</w:t>
                  </w:r>
                </w:p>
              </w:tc>
              <w:tc>
                <w:tcPr>
                  <w:tcW w:w="642" w:type="pct"/>
                  <w:tcBorders>
                    <w:tl2br w:val="nil"/>
                    <w:tr2bl w:val="nil"/>
                  </w:tcBorders>
                  <w:vAlign w:val="center"/>
                </w:tcPr>
                <w:p w14:paraId="6BE3EC6B">
                  <w:pPr>
                    <w:pStyle w:val="51"/>
                    <w:bidi w:val="0"/>
                    <w:rPr>
                      <w:color w:val="auto"/>
                    </w:rPr>
                  </w:pPr>
                  <w:r>
                    <w:rPr>
                      <w:rFonts w:hint="eastAsia"/>
                      <w:color w:val="auto"/>
                    </w:rPr>
                    <w:t>4</w:t>
                  </w:r>
                </w:p>
              </w:tc>
              <w:tc>
                <w:tcPr>
                  <w:tcW w:w="583" w:type="pct"/>
                  <w:tcBorders>
                    <w:tl2br w:val="nil"/>
                    <w:tr2bl w:val="nil"/>
                  </w:tcBorders>
                  <w:vAlign w:val="center"/>
                </w:tcPr>
                <w:p w14:paraId="16610C27">
                  <w:pPr>
                    <w:pStyle w:val="51"/>
                    <w:bidi w:val="0"/>
                    <w:rPr>
                      <w:color w:val="auto"/>
                    </w:rPr>
                  </w:pPr>
                  <w:r>
                    <w:rPr>
                      <w:rFonts w:hint="eastAsia"/>
                      <w:color w:val="auto"/>
                    </w:rPr>
                    <w:t>1000</w:t>
                  </w:r>
                </w:p>
              </w:tc>
              <w:tc>
                <w:tcPr>
                  <w:tcW w:w="701" w:type="pct"/>
                  <w:tcBorders>
                    <w:tl2br w:val="nil"/>
                    <w:tr2bl w:val="nil"/>
                  </w:tcBorders>
                  <w:vAlign w:val="center"/>
                </w:tcPr>
                <w:p w14:paraId="68583D2C">
                  <w:pPr>
                    <w:pStyle w:val="51"/>
                    <w:bidi w:val="0"/>
                    <w:rPr>
                      <w:color w:val="auto"/>
                    </w:rPr>
                  </w:pPr>
                  <w:r>
                    <w:rPr>
                      <w:rFonts w:hint="default"/>
                      <w:color w:val="auto"/>
                      <w:lang w:val="en-US" w:eastAsia="zh-CN"/>
                    </w:rPr>
                    <w:t xml:space="preserve">0.00400 </w:t>
                  </w:r>
                </w:p>
              </w:tc>
              <w:tc>
                <w:tcPr>
                  <w:tcW w:w="388" w:type="pct"/>
                  <w:vMerge w:val="restart"/>
                  <w:tcBorders>
                    <w:tl2br w:val="nil"/>
                    <w:tr2bl w:val="nil"/>
                  </w:tcBorders>
                  <w:vAlign w:val="center"/>
                </w:tcPr>
                <w:p w14:paraId="1CE52ACC">
                  <w:pPr>
                    <w:pStyle w:val="51"/>
                    <w:bidi w:val="0"/>
                    <w:rPr>
                      <w:color w:val="auto"/>
                    </w:rPr>
                  </w:pPr>
                  <w:r>
                    <w:rPr>
                      <w:rFonts w:hint="eastAsia"/>
                      <w:color w:val="auto"/>
                    </w:rPr>
                    <w:t>原料库</w:t>
                  </w:r>
                </w:p>
              </w:tc>
            </w:tr>
            <w:tr w14:paraId="5E5A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49" w:type="pct"/>
                  <w:tcBorders>
                    <w:tl2br w:val="nil"/>
                    <w:tr2bl w:val="nil"/>
                  </w:tcBorders>
                  <w:vAlign w:val="center"/>
                </w:tcPr>
                <w:p w14:paraId="167A2FB3">
                  <w:pPr>
                    <w:pStyle w:val="51"/>
                    <w:bidi w:val="0"/>
                    <w:rPr>
                      <w:color w:val="auto"/>
                    </w:rPr>
                  </w:pPr>
                  <w:r>
                    <w:rPr>
                      <w:color w:val="auto"/>
                    </w:rPr>
                    <w:t>2</w:t>
                  </w:r>
                </w:p>
              </w:tc>
              <w:tc>
                <w:tcPr>
                  <w:tcW w:w="739" w:type="pct"/>
                  <w:tcBorders>
                    <w:tl2br w:val="nil"/>
                    <w:tr2bl w:val="nil"/>
                  </w:tcBorders>
                  <w:vAlign w:val="center"/>
                </w:tcPr>
                <w:p w14:paraId="10B5ABC6">
                  <w:pPr>
                    <w:pStyle w:val="51"/>
                    <w:bidi w:val="0"/>
                    <w:rPr>
                      <w:color w:val="auto"/>
                    </w:rPr>
                  </w:pPr>
                  <w:r>
                    <w:rPr>
                      <w:rFonts w:hint="eastAsia"/>
                      <w:color w:val="auto"/>
                    </w:rPr>
                    <w:t>机油</w:t>
                  </w:r>
                </w:p>
              </w:tc>
              <w:tc>
                <w:tcPr>
                  <w:tcW w:w="1276" w:type="pct"/>
                  <w:tcBorders>
                    <w:tl2br w:val="nil"/>
                    <w:tr2bl w:val="nil"/>
                  </w:tcBorders>
                  <w:vAlign w:val="center"/>
                </w:tcPr>
                <w:p w14:paraId="083EE45D">
                  <w:pPr>
                    <w:pStyle w:val="51"/>
                    <w:bidi w:val="0"/>
                    <w:rPr>
                      <w:color w:val="auto"/>
                    </w:rPr>
                  </w:pPr>
                  <w:r>
                    <w:rPr>
                      <w:rFonts w:hint="eastAsia"/>
                      <w:color w:val="auto"/>
                    </w:rPr>
                    <w:t>W5,3 不属于W5,1或W5,2的其他类别2</w:t>
                  </w:r>
                </w:p>
              </w:tc>
              <w:tc>
                <w:tcPr>
                  <w:tcW w:w="419" w:type="pct"/>
                  <w:tcBorders>
                    <w:tl2br w:val="nil"/>
                    <w:tr2bl w:val="nil"/>
                  </w:tcBorders>
                  <w:vAlign w:val="center"/>
                </w:tcPr>
                <w:p w14:paraId="6C12E25F">
                  <w:pPr>
                    <w:pStyle w:val="51"/>
                    <w:bidi w:val="0"/>
                    <w:rPr>
                      <w:color w:val="auto"/>
                    </w:rPr>
                  </w:pPr>
                  <w:r>
                    <w:rPr>
                      <w:color w:val="auto"/>
                    </w:rPr>
                    <w:t>易燃</w:t>
                  </w:r>
                </w:p>
              </w:tc>
              <w:tc>
                <w:tcPr>
                  <w:tcW w:w="642" w:type="pct"/>
                  <w:tcBorders>
                    <w:tl2br w:val="nil"/>
                    <w:tr2bl w:val="nil"/>
                  </w:tcBorders>
                  <w:vAlign w:val="center"/>
                </w:tcPr>
                <w:p w14:paraId="0ED1816C">
                  <w:pPr>
                    <w:pStyle w:val="51"/>
                    <w:bidi w:val="0"/>
                    <w:rPr>
                      <w:color w:val="auto"/>
                    </w:rPr>
                  </w:pPr>
                  <w:r>
                    <w:rPr>
                      <w:rFonts w:hint="eastAsia"/>
                      <w:color w:val="auto"/>
                    </w:rPr>
                    <w:t>0.5</w:t>
                  </w:r>
                </w:p>
              </w:tc>
              <w:tc>
                <w:tcPr>
                  <w:tcW w:w="583" w:type="pct"/>
                  <w:tcBorders>
                    <w:tl2br w:val="nil"/>
                    <w:tr2bl w:val="nil"/>
                  </w:tcBorders>
                  <w:vAlign w:val="center"/>
                </w:tcPr>
                <w:p w14:paraId="64A96FBB">
                  <w:pPr>
                    <w:pStyle w:val="51"/>
                    <w:bidi w:val="0"/>
                    <w:rPr>
                      <w:color w:val="auto"/>
                    </w:rPr>
                  </w:pPr>
                  <w:r>
                    <w:rPr>
                      <w:rFonts w:hint="eastAsia"/>
                      <w:color w:val="auto"/>
                    </w:rPr>
                    <w:t>1000</w:t>
                  </w:r>
                </w:p>
              </w:tc>
              <w:tc>
                <w:tcPr>
                  <w:tcW w:w="701" w:type="pct"/>
                  <w:tcBorders>
                    <w:tl2br w:val="nil"/>
                    <w:tr2bl w:val="nil"/>
                  </w:tcBorders>
                  <w:vAlign w:val="center"/>
                </w:tcPr>
                <w:p w14:paraId="463FF776">
                  <w:pPr>
                    <w:pStyle w:val="51"/>
                    <w:bidi w:val="0"/>
                    <w:rPr>
                      <w:color w:val="auto"/>
                    </w:rPr>
                  </w:pPr>
                  <w:r>
                    <w:rPr>
                      <w:rFonts w:hint="default"/>
                      <w:color w:val="auto"/>
                      <w:lang w:val="en-US" w:eastAsia="zh-CN"/>
                    </w:rPr>
                    <w:t xml:space="preserve">0.00050 </w:t>
                  </w:r>
                </w:p>
              </w:tc>
              <w:tc>
                <w:tcPr>
                  <w:tcW w:w="388" w:type="pct"/>
                  <w:vMerge w:val="continue"/>
                  <w:tcBorders>
                    <w:tl2br w:val="nil"/>
                    <w:tr2bl w:val="nil"/>
                  </w:tcBorders>
                  <w:vAlign w:val="center"/>
                </w:tcPr>
                <w:p w14:paraId="7B209923">
                  <w:pPr>
                    <w:pStyle w:val="51"/>
                    <w:bidi w:val="0"/>
                    <w:rPr>
                      <w:color w:val="auto"/>
                    </w:rPr>
                  </w:pPr>
                </w:p>
              </w:tc>
            </w:tr>
            <w:tr w14:paraId="4D6F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49" w:type="pct"/>
                  <w:tcBorders>
                    <w:tl2br w:val="nil"/>
                    <w:tr2bl w:val="nil"/>
                  </w:tcBorders>
                  <w:vAlign w:val="center"/>
                </w:tcPr>
                <w:p w14:paraId="611129DF">
                  <w:pPr>
                    <w:pStyle w:val="51"/>
                    <w:bidi w:val="0"/>
                    <w:rPr>
                      <w:color w:val="auto"/>
                    </w:rPr>
                  </w:pPr>
                  <w:r>
                    <w:rPr>
                      <w:color w:val="auto"/>
                    </w:rPr>
                    <w:t>3</w:t>
                  </w:r>
                </w:p>
              </w:tc>
              <w:tc>
                <w:tcPr>
                  <w:tcW w:w="739" w:type="pct"/>
                  <w:tcBorders>
                    <w:tl2br w:val="nil"/>
                    <w:tr2bl w:val="nil"/>
                  </w:tcBorders>
                  <w:vAlign w:val="center"/>
                </w:tcPr>
                <w:p w14:paraId="6B2D3844">
                  <w:pPr>
                    <w:pStyle w:val="51"/>
                    <w:bidi w:val="0"/>
                    <w:rPr>
                      <w:rFonts w:hint="default"/>
                      <w:color w:val="auto"/>
                      <w:lang w:val="en-US" w:eastAsia="zh-CN"/>
                    </w:rPr>
                  </w:pPr>
                  <w:r>
                    <w:rPr>
                      <w:rFonts w:hint="eastAsia"/>
                      <w:color w:val="auto"/>
                      <w:lang w:val="en-US" w:eastAsia="zh-CN"/>
                    </w:rPr>
                    <w:t>PFS</w:t>
                  </w:r>
                </w:p>
              </w:tc>
              <w:tc>
                <w:tcPr>
                  <w:tcW w:w="1276" w:type="pct"/>
                  <w:tcBorders>
                    <w:tl2br w:val="nil"/>
                    <w:tr2bl w:val="nil"/>
                  </w:tcBorders>
                  <w:vAlign w:val="center"/>
                </w:tcPr>
                <w:p w14:paraId="0AA99F4A">
                  <w:pPr>
                    <w:pStyle w:val="51"/>
                    <w:bidi w:val="0"/>
                    <w:rPr>
                      <w:rFonts w:hint="default"/>
                      <w:color w:val="auto"/>
                      <w:lang w:val="en-US" w:eastAsia="zh-CN"/>
                    </w:rPr>
                  </w:pPr>
                  <w:r>
                    <w:rPr>
                      <w:rFonts w:hint="eastAsia"/>
                      <w:color w:val="auto"/>
                      <w:lang w:val="en-US" w:eastAsia="zh-CN"/>
                    </w:rPr>
                    <w:t>健康危险急性毒性物质（类别2，类别3）</w:t>
                  </w:r>
                </w:p>
              </w:tc>
              <w:tc>
                <w:tcPr>
                  <w:tcW w:w="419" w:type="pct"/>
                  <w:tcBorders>
                    <w:tl2br w:val="nil"/>
                    <w:tr2bl w:val="nil"/>
                  </w:tcBorders>
                  <w:vAlign w:val="center"/>
                </w:tcPr>
                <w:p w14:paraId="483A88B4">
                  <w:pPr>
                    <w:pStyle w:val="51"/>
                    <w:bidi w:val="0"/>
                    <w:rPr>
                      <w:rFonts w:hint="default"/>
                      <w:color w:val="auto"/>
                      <w:lang w:val="en-US" w:eastAsia="zh-CN"/>
                    </w:rPr>
                  </w:pPr>
                  <w:r>
                    <w:rPr>
                      <w:rFonts w:hint="eastAsia"/>
                      <w:color w:val="auto"/>
                      <w:lang w:val="en-US" w:eastAsia="zh-CN"/>
                    </w:rPr>
                    <w:t>有毒</w:t>
                  </w:r>
                </w:p>
              </w:tc>
              <w:tc>
                <w:tcPr>
                  <w:tcW w:w="642" w:type="pct"/>
                  <w:tcBorders>
                    <w:tl2br w:val="nil"/>
                    <w:tr2bl w:val="nil"/>
                  </w:tcBorders>
                  <w:vAlign w:val="center"/>
                </w:tcPr>
                <w:p w14:paraId="4CB21F0B">
                  <w:pPr>
                    <w:pStyle w:val="51"/>
                    <w:bidi w:val="0"/>
                    <w:rPr>
                      <w:rFonts w:hint="default"/>
                      <w:color w:val="auto"/>
                      <w:lang w:val="en-US" w:eastAsia="zh-CN"/>
                    </w:rPr>
                  </w:pPr>
                  <w:r>
                    <w:rPr>
                      <w:rFonts w:hint="eastAsia"/>
                      <w:color w:val="auto"/>
                      <w:lang w:val="en-US" w:eastAsia="zh-CN"/>
                    </w:rPr>
                    <w:t>0.5</w:t>
                  </w:r>
                </w:p>
              </w:tc>
              <w:tc>
                <w:tcPr>
                  <w:tcW w:w="583" w:type="pct"/>
                  <w:tcBorders>
                    <w:tl2br w:val="nil"/>
                    <w:tr2bl w:val="nil"/>
                  </w:tcBorders>
                  <w:vAlign w:val="center"/>
                </w:tcPr>
                <w:p w14:paraId="3AD32AC5">
                  <w:pPr>
                    <w:pStyle w:val="51"/>
                    <w:bidi w:val="0"/>
                    <w:rPr>
                      <w:rFonts w:hint="default"/>
                      <w:color w:val="auto"/>
                      <w:lang w:val="en-US" w:eastAsia="zh-CN"/>
                    </w:rPr>
                  </w:pPr>
                  <w:r>
                    <w:rPr>
                      <w:rFonts w:hint="eastAsia"/>
                      <w:color w:val="auto"/>
                      <w:lang w:val="en-US" w:eastAsia="zh-CN"/>
                    </w:rPr>
                    <w:t>50</w:t>
                  </w:r>
                </w:p>
              </w:tc>
              <w:tc>
                <w:tcPr>
                  <w:tcW w:w="701" w:type="pct"/>
                  <w:tcBorders>
                    <w:tl2br w:val="nil"/>
                    <w:tr2bl w:val="nil"/>
                  </w:tcBorders>
                  <w:vAlign w:val="center"/>
                </w:tcPr>
                <w:p w14:paraId="53EF4C25">
                  <w:pPr>
                    <w:pStyle w:val="51"/>
                    <w:bidi w:val="0"/>
                    <w:rPr>
                      <w:color w:val="auto"/>
                    </w:rPr>
                  </w:pPr>
                  <w:r>
                    <w:rPr>
                      <w:rFonts w:hint="default"/>
                      <w:color w:val="auto"/>
                      <w:lang w:val="en-US" w:eastAsia="zh-CN"/>
                    </w:rPr>
                    <w:t xml:space="preserve">0.01000 </w:t>
                  </w:r>
                </w:p>
              </w:tc>
              <w:tc>
                <w:tcPr>
                  <w:tcW w:w="388" w:type="pct"/>
                  <w:vMerge w:val="continue"/>
                  <w:tcBorders>
                    <w:tl2br w:val="nil"/>
                    <w:tr2bl w:val="nil"/>
                  </w:tcBorders>
                  <w:vAlign w:val="center"/>
                </w:tcPr>
                <w:p w14:paraId="05A12EB6">
                  <w:pPr>
                    <w:pStyle w:val="51"/>
                    <w:bidi w:val="0"/>
                    <w:rPr>
                      <w:color w:val="auto"/>
                    </w:rPr>
                  </w:pPr>
                </w:p>
              </w:tc>
            </w:tr>
            <w:tr w14:paraId="0E7F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 w:type="pct"/>
                  <w:tcBorders>
                    <w:tl2br w:val="nil"/>
                    <w:tr2bl w:val="nil"/>
                  </w:tcBorders>
                  <w:vAlign w:val="center"/>
                </w:tcPr>
                <w:p w14:paraId="62081E46">
                  <w:pPr>
                    <w:pStyle w:val="51"/>
                    <w:bidi w:val="0"/>
                    <w:rPr>
                      <w:color w:val="auto"/>
                    </w:rPr>
                  </w:pPr>
                  <w:r>
                    <w:rPr>
                      <w:color w:val="auto"/>
                    </w:rPr>
                    <w:t>4</w:t>
                  </w:r>
                </w:p>
              </w:tc>
              <w:tc>
                <w:tcPr>
                  <w:tcW w:w="739" w:type="pct"/>
                  <w:tcBorders>
                    <w:tl2br w:val="nil"/>
                    <w:tr2bl w:val="nil"/>
                  </w:tcBorders>
                  <w:vAlign w:val="center"/>
                </w:tcPr>
                <w:p w14:paraId="6AA5A559">
                  <w:pPr>
                    <w:pStyle w:val="51"/>
                    <w:bidi w:val="0"/>
                    <w:rPr>
                      <w:color w:val="auto"/>
                    </w:rPr>
                  </w:pPr>
                  <w:r>
                    <w:rPr>
                      <w:rFonts w:hint="eastAsia"/>
                      <w:color w:val="auto"/>
                    </w:rPr>
                    <w:t>废加弹油</w:t>
                  </w:r>
                </w:p>
              </w:tc>
              <w:tc>
                <w:tcPr>
                  <w:tcW w:w="1276" w:type="pct"/>
                  <w:tcBorders>
                    <w:tl2br w:val="nil"/>
                    <w:tr2bl w:val="nil"/>
                  </w:tcBorders>
                  <w:vAlign w:val="center"/>
                </w:tcPr>
                <w:p w14:paraId="7A5C3C7D">
                  <w:pPr>
                    <w:pStyle w:val="51"/>
                    <w:bidi w:val="0"/>
                    <w:rPr>
                      <w:color w:val="auto"/>
                    </w:rPr>
                  </w:pPr>
                  <w:r>
                    <w:rPr>
                      <w:rFonts w:hint="eastAsia"/>
                      <w:color w:val="auto"/>
                    </w:rPr>
                    <w:t>W10 类别1易燃固体</w:t>
                  </w:r>
                </w:p>
              </w:tc>
              <w:tc>
                <w:tcPr>
                  <w:tcW w:w="419" w:type="pct"/>
                  <w:tcBorders>
                    <w:tl2br w:val="nil"/>
                    <w:tr2bl w:val="nil"/>
                  </w:tcBorders>
                  <w:vAlign w:val="center"/>
                </w:tcPr>
                <w:p w14:paraId="2EBC8653">
                  <w:pPr>
                    <w:pStyle w:val="51"/>
                    <w:bidi w:val="0"/>
                    <w:rPr>
                      <w:color w:val="auto"/>
                    </w:rPr>
                  </w:pPr>
                  <w:r>
                    <w:rPr>
                      <w:rFonts w:hint="eastAsia"/>
                      <w:color w:val="auto"/>
                    </w:rPr>
                    <w:t>易燃</w:t>
                  </w:r>
                </w:p>
              </w:tc>
              <w:tc>
                <w:tcPr>
                  <w:tcW w:w="642" w:type="pct"/>
                  <w:tcBorders>
                    <w:tl2br w:val="nil"/>
                    <w:tr2bl w:val="nil"/>
                  </w:tcBorders>
                  <w:vAlign w:val="center"/>
                </w:tcPr>
                <w:p w14:paraId="07438DB1">
                  <w:pPr>
                    <w:pStyle w:val="51"/>
                    <w:bidi w:val="0"/>
                    <w:rPr>
                      <w:rFonts w:hint="default"/>
                      <w:color w:val="auto"/>
                      <w:lang w:val="en-US" w:eastAsia="zh-CN"/>
                    </w:rPr>
                  </w:pPr>
                  <w:r>
                    <w:rPr>
                      <w:rFonts w:hint="eastAsia"/>
                      <w:color w:val="auto"/>
                      <w:lang w:val="en-US" w:eastAsia="zh-CN"/>
                    </w:rPr>
                    <w:t>1.7</w:t>
                  </w:r>
                </w:p>
              </w:tc>
              <w:tc>
                <w:tcPr>
                  <w:tcW w:w="583" w:type="pct"/>
                  <w:tcBorders>
                    <w:tl2br w:val="nil"/>
                    <w:tr2bl w:val="nil"/>
                  </w:tcBorders>
                  <w:vAlign w:val="center"/>
                </w:tcPr>
                <w:p w14:paraId="14502EB5">
                  <w:pPr>
                    <w:pStyle w:val="51"/>
                    <w:bidi w:val="0"/>
                    <w:rPr>
                      <w:color w:val="auto"/>
                    </w:rPr>
                  </w:pPr>
                  <w:r>
                    <w:rPr>
                      <w:rFonts w:hint="eastAsia"/>
                      <w:color w:val="auto"/>
                    </w:rPr>
                    <w:t>200</w:t>
                  </w:r>
                </w:p>
              </w:tc>
              <w:tc>
                <w:tcPr>
                  <w:tcW w:w="701" w:type="pct"/>
                  <w:tcBorders>
                    <w:tl2br w:val="nil"/>
                    <w:tr2bl w:val="nil"/>
                  </w:tcBorders>
                  <w:vAlign w:val="center"/>
                </w:tcPr>
                <w:p w14:paraId="1624A448">
                  <w:pPr>
                    <w:pStyle w:val="51"/>
                    <w:bidi w:val="0"/>
                    <w:rPr>
                      <w:color w:val="auto"/>
                    </w:rPr>
                  </w:pPr>
                  <w:r>
                    <w:rPr>
                      <w:rFonts w:hint="default"/>
                      <w:color w:val="auto"/>
                      <w:lang w:val="en-US" w:eastAsia="zh-CN"/>
                    </w:rPr>
                    <w:t xml:space="preserve">0.00850 </w:t>
                  </w:r>
                </w:p>
              </w:tc>
              <w:tc>
                <w:tcPr>
                  <w:tcW w:w="388" w:type="pct"/>
                  <w:vMerge w:val="restart"/>
                  <w:tcBorders>
                    <w:tl2br w:val="nil"/>
                    <w:tr2bl w:val="nil"/>
                  </w:tcBorders>
                  <w:vAlign w:val="center"/>
                </w:tcPr>
                <w:p w14:paraId="14F14000">
                  <w:pPr>
                    <w:pStyle w:val="51"/>
                    <w:bidi w:val="0"/>
                    <w:rPr>
                      <w:color w:val="auto"/>
                    </w:rPr>
                  </w:pPr>
                  <w:r>
                    <w:rPr>
                      <w:rFonts w:hint="eastAsia"/>
                      <w:color w:val="auto"/>
                    </w:rPr>
                    <w:t>危废库</w:t>
                  </w:r>
                </w:p>
              </w:tc>
            </w:tr>
            <w:tr w14:paraId="31A6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 w:type="pct"/>
                  <w:tcBorders>
                    <w:tl2br w:val="nil"/>
                    <w:tr2bl w:val="nil"/>
                  </w:tcBorders>
                  <w:vAlign w:val="center"/>
                </w:tcPr>
                <w:p w14:paraId="0C6B9458">
                  <w:pPr>
                    <w:pStyle w:val="51"/>
                    <w:bidi w:val="0"/>
                    <w:rPr>
                      <w:color w:val="auto"/>
                    </w:rPr>
                  </w:pPr>
                  <w:r>
                    <w:rPr>
                      <w:rFonts w:hint="eastAsia"/>
                      <w:color w:val="auto"/>
                    </w:rPr>
                    <w:t>5</w:t>
                  </w:r>
                </w:p>
              </w:tc>
              <w:tc>
                <w:tcPr>
                  <w:tcW w:w="739" w:type="pct"/>
                  <w:tcBorders>
                    <w:tl2br w:val="nil"/>
                    <w:tr2bl w:val="nil"/>
                  </w:tcBorders>
                  <w:vAlign w:val="center"/>
                </w:tcPr>
                <w:p w14:paraId="40B5AD61">
                  <w:pPr>
                    <w:pStyle w:val="51"/>
                    <w:bidi w:val="0"/>
                    <w:rPr>
                      <w:color w:val="auto"/>
                    </w:rPr>
                  </w:pPr>
                  <w:r>
                    <w:rPr>
                      <w:rFonts w:hint="eastAsia"/>
                      <w:color w:val="auto"/>
                    </w:rPr>
                    <w:t>废机油</w:t>
                  </w:r>
                </w:p>
              </w:tc>
              <w:tc>
                <w:tcPr>
                  <w:tcW w:w="1276" w:type="pct"/>
                  <w:tcBorders>
                    <w:tl2br w:val="nil"/>
                    <w:tr2bl w:val="nil"/>
                  </w:tcBorders>
                  <w:vAlign w:val="center"/>
                </w:tcPr>
                <w:p w14:paraId="7E964B9D">
                  <w:pPr>
                    <w:pStyle w:val="51"/>
                    <w:bidi w:val="0"/>
                    <w:rPr>
                      <w:color w:val="auto"/>
                    </w:rPr>
                  </w:pPr>
                  <w:r>
                    <w:rPr>
                      <w:rFonts w:hint="eastAsia"/>
                      <w:color w:val="auto"/>
                    </w:rPr>
                    <w:t>W5,3 不属于W5,1或W5,2的其他类别2</w:t>
                  </w:r>
                </w:p>
              </w:tc>
              <w:tc>
                <w:tcPr>
                  <w:tcW w:w="419" w:type="pct"/>
                  <w:tcBorders>
                    <w:tl2br w:val="nil"/>
                    <w:tr2bl w:val="nil"/>
                  </w:tcBorders>
                  <w:vAlign w:val="center"/>
                </w:tcPr>
                <w:p w14:paraId="59F7F773">
                  <w:pPr>
                    <w:pStyle w:val="51"/>
                    <w:bidi w:val="0"/>
                    <w:rPr>
                      <w:color w:val="auto"/>
                    </w:rPr>
                  </w:pPr>
                  <w:r>
                    <w:rPr>
                      <w:color w:val="auto"/>
                    </w:rPr>
                    <w:t>易燃</w:t>
                  </w:r>
                </w:p>
              </w:tc>
              <w:tc>
                <w:tcPr>
                  <w:tcW w:w="642" w:type="pct"/>
                  <w:tcBorders>
                    <w:tl2br w:val="nil"/>
                    <w:tr2bl w:val="nil"/>
                  </w:tcBorders>
                  <w:vAlign w:val="center"/>
                </w:tcPr>
                <w:p w14:paraId="0ED1A9D8">
                  <w:pPr>
                    <w:pStyle w:val="51"/>
                    <w:bidi w:val="0"/>
                    <w:rPr>
                      <w:color w:val="auto"/>
                    </w:rPr>
                  </w:pPr>
                  <w:r>
                    <w:rPr>
                      <w:rFonts w:hint="eastAsia"/>
                      <w:color w:val="auto"/>
                    </w:rPr>
                    <w:t>2.4</w:t>
                  </w:r>
                </w:p>
              </w:tc>
              <w:tc>
                <w:tcPr>
                  <w:tcW w:w="583" w:type="pct"/>
                  <w:tcBorders>
                    <w:tl2br w:val="nil"/>
                    <w:tr2bl w:val="nil"/>
                  </w:tcBorders>
                  <w:vAlign w:val="center"/>
                </w:tcPr>
                <w:p w14:paraId="5D6A84AD">
                  <w:pPr>
                    <w:pStyle w:val="51"/>
                    <w:bidi w:val="0"/>
                    <w:rPr>
                      <w:color w:val="auto"/>
                    </w:rPr>
                  </w:pPr>
                  <w:r>
                    <w:rPr>
                      <w:rFonts w:hint="eastAsia"/>
                      <w:color w:val="auto"/>
                    </w:rPr>
                    <w:t>1000</w:t>
                  </w:r>
                </w:p>
              </w:tc>
              <w:tc>
                <w:tcPr>
                  <w:tcW w:w="701" w:type="pct"/>
                  <w:tcBorders>
                    <w:tl2br w:val="nil"/>
                    <w:tr2bl w:val="nil"/>
                  </w:tcBorders>
                  <w:vAlign w:val="center"/>
                </w:tcPr>
                <w:p w14:paraId="7376FB58">
                  <w:pPr>
                    <w:pStyle w:val="51"/>
                    <w:bidi w:val="0"/>
                    <w:rPr>
                      <w:color w:val="auto"/>
                    </w:rPr>
                  </w:pPr>
                  <w:r>
                    <w:rPr>
                      <w:rFonts w:hint="default"/>
                      <w:color w:val="auto"/>
                      <w:lang w:val="en-US" w:eastAsia="zh-CN"/>
                    </w:rPr>
                    <w:t xml:space="preserve">0.00240 </w:t>
                  </w:r>
                </w:p>
              </w:tc>
              <w:tc>
                <w:tcPr>
                  <w:tcW w:w="388" w:type="pct"/>
                  <w:vMerge w:val="continue"/>
                  <w:tcBorders>
                    <w:tl2br w:val="nil"/>
                    <w:tr2bl w:val="nil"/>
                  </w:tcBorders>
                  <w:vAlign w:val="center"/>
                </w:tcPr>
                <w:p w14:paraId="0A22B163">
                  <w:pPr>
                    <w:pStyle w:val="51"/>
                    <w:bidi w:val="0"/>
                    <w:rPr>
                      <w:color w:val="auto"/>
                    </w:rPr>
                  </w:pPr>
                </w:p>
              </w:tc>
            </w:tr>
            <w:tr w14:paraId="440F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 w:type="pct"/>
                  <w:tcBorders>
                    <w:tl2br w:val="nil"/>
                    <w:tr2bl w:val="nil"/>
                  </w:tcBorders>
                  <w:vAlign w:val="center"/>
                </w:tcPr>
                <w:p w14:paraId="6A8FE8CD">
                  <w:pPr>
                    <w:pStyle w:val="51"/>
                    <w:bidi w:val="0"/>
                    <w:rPr>
                      <w:rFonts w:hint="eastAsia"/>
                      <w:color w:val="auto"/>
                      <w:lang w:val="en-US" w:eastAsia="zh-CN"/>
                    </w:rPr>
                  </w:pPr>
                  <w:r>
                    <w:rPr>
                      <w:rFonts w:hint="eastAsia"/>
                      <w:color w:val="auto"/>
                      <w:lang w:val="en-US" w:eastAsia="zh-CN"/>
                    </w:rPr>
                    <w:t>6</w:t>
                  </w:r>
                </w:p>
              </w:tc>
              <w:tc>
                <w:tcPr>
                  <w:tcW w:w="739" w:type="pct"/>
                  <w:tcBorders>
                    <w:tl2br w:val="nil"/>
                    <w:tr2bl w:val="nil"/>
                  </w:tcBorders>
                  <w:vAlign w:val="center"/>
                </w:tcPr>
                <w:p w14:paraId="3C003159">
                  <w:pPr>
                    <w:pStyle w:val="51"/>
                    <w:bidi w:val="0"/>
                    <w:rPr>
                      <w:color w:val="auto"/>
                    </w:rPr>
                  </w:pPr>
                  <w:r>
                    <w:rPr>
                      <w:rFonts w:hint="eastAsia"/>
                      <w:color w:val="auto"/>
                    </w:rPr>
                    <w:t>废机油桶</w:t>
                  </w:r>
                </w:p>
              </w:tc>
              <w:tc>
                <w:tcPr>
                  <w:tcW w:w="1276" w:type="pct"/>
                  <w:tcBorders>
                    <w:tl2br w:val="nil"/>
                    <w:tr2bl w:val="nil"/>
                  </w:tcBorders>
                  <w:vAlign w:val="center"/>
                </w:tcPr>
                <w:p w14:paraId="4E2E80ED">
                  <w:pPr>
                    <w:pStyle w:val="51"/>
                    <w:bidi w:val="0"/>
                    <w:rPr>
                      <w:color w:val="auto"/>
                    </w:rPr>
                  </w:pPr>
                  <w:r>
                    <w:rPr>
                      <w:rFonts w:hint="eastAsia"/>
                      <w:color w:val="auto"/>
                    </w:rPr>
                    <w:t>W10 类别1易燃固体</w:t>
                  </w:r>
                </w:p>
              </w:tc>
              <w:tc>
                <w:tcPr>
                  <w:tcW w:w="419" w:type="pct"/>
                  <w:tcBorders>
                    <w:tl2br w:val="nil"/>
                    <w:tr2bl w:val="nil"/>
                  </w:tcBorders>
                  <w:vAlign w:val="center"/>
                </w:tcPr>
                <w:p w14:paraId="1CAB77DD">
                  <w:pPr>
                    <w:pStyle w:val="51"/>
                    <w:bidi w:val="0"/>
                    <w:rPr>
                      <w:color w:val="auto"/>
                    </w:rPr>
                  </w:pPr>
                  <w:r>
                    <w:rPr>
                      <w:rFonts w:hint="eastAsia"/>
                      <w:color w:val="auto"/>
                    </w:rPr>
                    <w:t>易燃</w:t>
                  </w:r>
                </w:p>
              </w:tc>
              <w:tc>
                <w:tcPr>
                  <w:tcW w:w="642" w:type="pct"/>
                  <w:tcBorders>
                    <w:tl2br w:val="nil"/>
                    <w:tr2bl w:val="nil"/>
                  </w:tcBorders>
                  <w:vAlign w:val="center"/>
                </w:tcPr>
                <w:p w14:paraId="6C8A390F">
                  <w:pPr>
                    <w:pStyle w:val="51"/>
                    <w:bidi w:val="0"/>
                    <w:rPr>
                      <w:color w:val="auto"/>
                    </w:rPr>
                  </w:pPr>
                  <w:r>
                    <w:rPr>
                      <w:rFonts w:hint="eastAsia"/>
                      <w:color w:val="auto"/>
                    </w:rPr>
                    <w:t>0.08</w:t>
                  </w:r>
                </w:p>
              </w:tc>
              <w:tc>
                <w:tcPr>
                  <w:tcW w:w="583" w:type="pct"/>
                  <w:tcBorders>
                    <w:tl2br w:val="nil"/>
                    <w:tr2bl w:val="nil"/>
                  </w:tcBorders>
                  <w:vAlign w:val="center"/>
                </w:tcPr>
                <w:p w14:paraId="6B6EC563">
                  <w:pPr>
                    <w:pStyle w:val="51"/>
                    <w:bidi w:val="0"/>
                    <w:rPr>
                      <w:color w:val="auto"/>
                    </w:rPr>
                  </w:pPr>
                  <w:r>
                    <w:rPr>
                      <w:rFonts w:hint="eastAsia"/>
                      <w:color w:val="auto"/>
                    </w:rPr>
                    <w:t>200</w:t>
                  </w:r>
                </w:p>
              </w:tc>
              <w:tc>
                <w:tcPr>
                  <w:tcW w:w="701" w:type="pct"/>
                  <w:tcBorders>
                    <w:tl2br w:val="nil"/>
                    <w:tr2bl w:val="nil"/>
                  </w:tcBorders>
                  <w:vAlign w:val="center"/>
                </w:tcPr>
                <w:p w14:paraId="01A6BD87">
                  <w:pPr>
                    <w:pStyle w:val="51"/>
                    <w:bidi w:val="0"/>
                    <w:rPr>
                      <w:color w:val="auto"/>
                    </w:rPr>
                  </w:pPr>
                  <w:r>
                    <w:rPr>
                      <w:rFonts w:hint="default"/>
                      <w:color w:val="auto"/>
                      <w:lang w:val="en-US" w:eastAsia="zh-CN"/>
                    </w:rPr>
                    <w:t xml:space="preserve">0.00040 </w:t>
                  </w:r>
                </w:p>
              </w:tc>
              <w:tc>
                <w:tcPr>
                  <w:tcW w:w="388" w:type="pct"/>
                  <w:vMerge w:val="continue"/>
                  <w:tcBorders>
                    <w:tl2br w:val="nil"/>
                    <w:tr2bl w:val="nil"/>
                  </w:tcBorders>
                  <w:vAlign w:val="center"/>
                </w:tcPr>
                <w:p w14:paraId="4916F12D">
                  <w:pPr>
                    <w:pStyle w:val="51"/>
                    <w:bidi w:val="0"/>
                    <w:rPr>
                      <w:color w:val="auto"/>
                    </w:rPr>
                  </w:pPr>
                </w:p>
              </w:tc>
            </w:tr>
            <w:tr w14:paraId="1F3D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0" w:type="pct"/>
                  <w:gridSpan w:val="6"/>
                  <w:tcBorders>
                    <w:tl2br w:val="nil"/>
                    <w:tr2bl w:val="nil"/>
                  </w:tcBorders>
                  <w:vAlign w:val="center"/>
                </w:tcPr>
                <w:p w14:paraId="454471D8">
                  <w:pPr>
                    <w:pStyle w:val="51"/>
                    <w:bidi w:val="0"/>
                    <w:rPr>
                      <w:color w:val="auto"/>
                    </w:rPr>
                  </w:pPr>
                  <w:r>
                    <w:rPr>
                      <w:color w:val="auto"/>
                    </w:rPr>
                    <w:t>Q</w:t>
                  </w:r>
                </w:p>
              </w:tc>
              <w:tc>
                <w:tcPr>
                  <w:tcW w:w="701" w:type="pct"/>
                  <w:tcBorders>
                    <w:tl2br w:val="nil"/>
                    <w:tr2bl w:val="nil"/>
                  </w:tcBorders>
                  <w:shd w:val="clear" w:color="auto" w:fill="auto"/>
                  <w:vAlign w:val="center"/>
                </w:tcPr>
                <w:p w14:paraId="261731CB">
                  <w:pPr>
                    <w:pStyle w:val="51"/>
                    <w:bidi w:val="0"/>
                    <w:rPr>
                      <w:color w:val="auto"/>
                    </w:rPr>
                  </w:pPr>
                  <w:r>
                    <w:rPr>
                      <w:rFonts w:hint="default"/>
                      <w:color w:val="auto"/>
                      <w:lang w:val="en-US" w:eastAsia="zh-CN"/>
                    </w:rPr>
                    <w:t xml:space="preserve">0.02580 </w:t>
                  </w:r>
                </w:p>
              </w:tc>
              <w:tc>
                <w:tcPr>
                  <w:tcW w:w="388" w:type="pct"/>
                  <w:tcBorders>
                    <w:tl2br w:val="nil"/>
                    <w:tr2bl w:val="nil"/>
                  </w:tcBorders>
                  <w:vAlign w:val="center"/>
                </w:tcPr>
                <w:p w14:paraId="63C2DD35">
                  <w:pPr>
                    <w:pStyle w:val="51"/>
                    <w:bidi w:val="0"/>
                    <w:rPr>
                      <w:color w:val="auto"/>
                    </w:rPr>
                  </w:pPr>
                  <w:r>
                    <w:rPr>
                      <w:color w:val="auto"/>
                    </w:rPr>
                    <w:t>/</w:t>
                  </w:r>
                </w:p>
              </w:tc>
            </w:tr>
          </w:tbl>
          <w:p w14:paraId="4EA88D9E">
            <w:pPr>
              <w:pStyle w:val="47"/>
              <w:ind w:firstLine="480"/>
              <w:rPr>
                <w:color w:val="auto"/>
              </w:rPr>
            </w:pPr>
            <w:r>
              <w:rPr>
                <w:color w:val="auto"/>
              </w:rPr>
              <w:t>本项目风险物质数量与临界量比值Q=</w:t>
            </w:r>
            <w:r>
              <w:rPr>
                <w:rFonts w:hint="eastAsia"/>
                <w:color w:val="auto"/>
                <w:lang w:val="en-US" w:eastAsia="zh-CN"/>
              </w:rPr>
              <w:t>0.02580</w:t>
            </w:r>
            <w:r>
              <w:rPr>
                <w:color w:val="auto"/>
              </w:rPr>
              <w:t>&lt;1，因此本项目环境风险潜势为 Ⅰ，环境风险简单分析即可。</w:t>
            </w:r>
          </w:p>
          <w:p w14:paraId="278654D0">
            <w:pPr>
              <w:pStyle w:val="47"/>
              <w:ind w:firstLine="480"/>
              <w:rPr>
                <w:color w:val="auto"/>
              </w:rPr>
            </w:pPr>
            <w:r>
              <w:rPr>
                <w:color w:val="auto"/>
              </w:rPr>
              <w:t>本项目涉及到的易燃危险物质、风险源分布情况、可能影响途径、相应环境风险防范措施见建设项目环境风险简单分析内容</w:t>
            </w:r>
            <w:r>
              <w:rPr>
                <w:color w:val="auto"/>
              </w:rPr>
              <w:fldChar w:fldCharType="begin"/>
            </w:r>
            <w:r>
              <w:rPr>
                <w:color w:val="auto"/>
              </w:rPr>
              <w:instrText xml:space="preserve"> REF _Ref10223 \h </w:instrText>
            </w:r>
            <w:r>
              <w:rPr>
                <w:color w:val="auto"/>
              </w:rPr>
              <w:fldChar w:fldCharType="separate"/>
            </w:r>
            <w:r>
              <w:rPr>
                <w:color w:val="auto"/>
              </w:rPr>
              <w:t>表4- 25</w:t>
            </w:r>
            <w:r>
              <w:rPr>
                <w:color w:val="auto"/>
              </w:rPr>
              <w:fldChar w:fldCharType="end"/>
            </w:r>
            <w:r>
              <w:rPr>
                <w:color w:val="auto"/>
              </w:rPr>
              <w:t>。</w:t>
            </w:r>
          </w:p>
          <w:p w14:paraId="788A865A">
            <w:pPr>
              <w:pStyle w:val="49"/>
              <w:rPr>
                <w:color w:val="auto"/>
              </w:rPr>
            </w:pPr>
            <w:bookmarkStart w:id="88" w:name="_Ref10223"/>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25</w:t>
            </w:r>
            <w:r>
              <w:rPr>
                <w:color w:val="auto"/>
              </w:rPr>
              <w:fldChar w:fldCharType="end"/>
            </w:r>
            <w:bookmarkEnd w:id="88"/>
            <w:r>
              <w:rPr>
                <w:rFonts w:hint="eastAsia"/>
                <w:color w:val="auto"/>
              </w:rPr>
              <w:t xml:space="preserve"> </w:t>
            </w:r>
            <w:r>
              <w:rPr>
                <w:color w:val="auto"/>
              </w:rPr>
              <w:t>危险物质、风险源分布、可能影响途径及风险防范措施表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004"/>
              <w:gridCol w:w="2624"/>
              <w:gridCol w:w="960"/>
              <w:gridCol w:w="2222"/>
            </w:tblGrid>
            <w:tr w14:paraId="215B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 w:type="pct"/>
                  <w:tcBorders>
                    <w:tl2br w:val="nil"/>
                    <w:tr2bl w:val="nil"/>
                  </w:tcBorders>
                  <w:vAlign w:val="center"/>
                </w:tcPr>
                <w:p w14:paraId="4A9AD9FE">
                  <w:pPr>
                    <w:pStyle w:val="49"/>
                    <w:rPr>
                      <w:color w:val="auto"/>
                    </w:rPr>
                  </w:pPr>
                  <w:r>
                    <w:rPr>
                      <w:color w:val="auto"/>
                    </w:rPr>
                    <w:t>建设项目名称</w:t>
                  </w:r>
                </w:p>
              </w:tc>
              <w:tc>
                <w:tcPr>
                  <w:tcW w:w="4050" w:type="pct"/>
                  <w:gridSpan w:val="4"/>
                  <w:tcBorders>
                    <w:tl2br w:val="nil"/>
                    <w:tr2bl w:val="nil"/>
                  </w:tcBorders>
                  <w:vAlign w:val="center"/>
                </w:tcPr>
                <w:p w14:paraId="41988195">
                  <w:pPr>
                    <w:pStyle w:val="51"/>
                    <w:rPr>
                      <w:color w:val="auto"/>
                    </w:rPr>
                  </w:pPr>
                  <w:r>
                    <w:rPr>
                      <w:color w:val="auto"/>
                    </w:rPr>
                    <w:t>年产1</w:t>
                  </w:r>
                  <w:r>
                    <w:rPr>
                      <w:rFonts w:hint="eastAsia"/>
                      <w:color w:val="auto"/>
                    </w:rPr>
                    <w:t>.2亿</w:t>
                  </w:r>
                  <w:r>
                    <w:rPr>
                      <w:color w:val="auto"/>
                    </w:rPr>
                    <w:t>米化纤面料项目</w:t>
                  </w:r>
                </w:p>
              </w:tc>
            </w:tr>
            <w:tr w14:paraId="5F9C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 w:type="pct"/>
                  <w:tcBorders>
                    <w:tl2br w:val="nil"/>
                    <w:tr2bl w:val="nil"/>
                  </w:tcBorders>
                  <w:vAlign w:val="center"/>
                </w:tcPr>
                <w:p w14:paraId="5A2F6671">
                  <w:pPr>
                    <w:pStyle w:val="49"/>
                    <w:rPr>
                      <w:color w:val="auto"/>
                    </w:rPr>
                  </w:pPr>
                  <w:r>
                    <w:rPr>
                      <w:color w:val="auto"/>
                    </w:rPr>
                    <w:t>建设地点</w:t>
                  </w:r>
                </w:p>
              </w:tc>
              <w:tc>
                <w:tcPr>
                  <w:tcW w:w="4050" w:type="pct"/>
                  <w:gridSpan w:val="4"/>
                  <w:tcBorders>
                    <w:tl2br w:val="nil"/>
                    <w:tr2bl w:val="nil"/>
                  </w:tcBorders>
                  <w:vAlign w:val="center"/>
                </w:tcPr>
                <w:p w14:paraId="7EBD0252">
                  <w:pPr>
                    <w:pStyle w:val="51"/>
                    <w:rPr>
                      <w:color w:val="auto"/>
                    </w:rPr>
                  </w:pPr>
                  <w:r>
                    <w:rPr>
                      <w:color w:val="auto"/>
                    </w:rPr>
                    <w:t>江苏省宿迁市泗阳县新袁镇广州路28号</w:t>
                  </w:r>
                </w:p>
              </w:tc>
            </w:tr>
            <w:tr w14:paraId="5E1A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 w:type="pct"/>
                  <w:tcBorders>
                    <w:tl2br w:val="nil"/>
                    <w:tr2bl w:val="nil"/>
                  </w:tcBorders>
                  <w:vAlign w:val="center"/>
                </w:tcPr>
                <w:p w14:paraId="4BDCE74B">
                  <w:pPr>
                    <w:pStyle w:val="49"/>
                    <w:rPr>
                      <w:color w:val="auto"/>
                    </w:rPr>
                  </w:pPr>
                  <w:r>
                    <w:rPr>
                      <w:color w:val="auto"/>
                    </w:rPr>
                    <w:t>地理坐标</w:t>
                  </w:r>
                </w:p>
              </w:tc>
              <w:tc>
                <w:tcPr>
                  <w:tcW w:w="597" w:type="pct"/>
                  <w:tcBorders>
                    <w:tl2br w:val="nil"/>
                    <w:tr2bl w:val="nil"/>
                  </w:tcBorders>
                  <w:vAlign w:val="center"/>
                </w:tcPr>
                <w:p w14:paraId="3C9B9B4A">
                  <w:pPr>
                    <w:pStyle w:val="51"/>
                    <w:rPr>
                      <w:color w:val="auto"/>
                    </w:rPr>
                  </w:pPr>
                  <w:r>
                    <w:rPr>
                      <w:color w:val="auto"/>
                    </w:rPr>
                    <w:t>经度</w:t>
                  </w:r>
                </w:p>
              </w:tc>
              <w:tc>
                <w:tcPr>
                  <w:tcW w:w="1561" w:type="pct"/>
                  <w:tcBorders>
                    <w:tl2br w:val="nil"/>
                    <w:tr2bl w:val="nil"/>
                  </w:tcBorders>
                  <w:vAlign w:val="center"/>
                </w:tcPr>
                <w:p w14:paraId="16EA0FF7">
                  <w:pPr>
                    <w:pStyle w:val="51"/>
                    <w:rPr>
                      <w:color w:val="auto"/>
                    </w:rPr>
                  </w:pPr>
                  <w:r>
                    <w:rPr>
                      <w:color w:val="auto"/>
                    </w:rPr>
                    <w:t>118度45分34.272秒</w:t>
                  </w:r>
                </w:p>
              </w:tc>
              <w:tc>
                <w:tcPr>
                  <w:tcW w:w="571" w:type="pct"/>
                  <w:tcBorders>
                    <w:tl2br w:val="nil"/>
                    <w:tr2bl w:val="nil"/>
                  </w:tcBorders>
                  <w:vAlign w:val="center"/>
                </w:tcPr>
                <w:p w14:paraId="420AEA7C">
                  <w:pPr>
                    <w:pStyle w:val="51"/>
                    <w:rPr>
                      <w:color w:val="auto"/>
                    </w:rPr>
                  </w:pPr>
                  <w:r>
                    <w:rPr>
                      <w:color w:val="auto"/>
                    </w:rPr>
                    <w:t>纬度</w:t>
                  </w:r>
                </w:p>
              </w:tc>
              <w:tc>
                <w:tcPr>
                  <w:tcW w:w="1319" w:type="pct"/>
                  <w:tcBorders>
                    <w:tl2br w:val="nil"/>
                    <w:tr2bl w:val="nil"/>
                  </w:tcBorders>
                  <w:vAlign w:val="center"/>
                </w:tcPr>
                <w:p w14:paraId="244CD8EC">
                  <w:pPr>
                    <w:pStyle w:val="51"/>
                    <w:rPr>
                      <w:color w:val="auto"/>
                    </w:rPr>
                  </w:pPr>
                  <w:r>
                    <w:rPr>
                      <w:color w:val="auto"/>
                    </w:rPr>
                    <w:t>33度33分27.932秒</w:t>
                  </w:r>
                </w:p>
              </w:tc>
            </w:tr>
            <w:tr w14:paraId="3BAC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 w:type="pct"/>
                  <w:tcBorders>
                    <w:tl2br w:val="nil"/>
                    <w:tr2bl w:val="nil"/>
                  </w:tcBorders>
                  <w:vAlign w:val="center"/>
                </w:tcPr>
                <w:p w14:paraId="03EA1303">
                  <w:pPr>
                    <w:pStyle w:val="49"/>
                    <w:rPr>
                      <w:color w:val="auto"/>
                    </w:rPr>
                  </w:pPr>
                  <w:r>
                    <w:rPr>
                      <w:color w:val="auto"/>
                    </w:rPr>
                    <w:t>主要危险物质及分布</w:t>
                  </w:r>
                </w:p>
              </w:tc>
              <w:tc>
                <w:tcPr>
                  <w:tcW w:w="4050" w:type="pct"/>
                  <w:gridSpan w:val="4"/>
                  <w:tcBorders>
                    <w:tl2br w:val="nil"/>
                    <w:tr2bl w:val="nil"/>
                  </w:tcBorders>
                  <w:vAlign w:val="center"/>
                </w:tcPr>
                <w:p w14:paraId="6E68BA7E">
                  <w:pPr>
                    <w:pStyle w:val="51"/>
                    <w:rPr>
                      <w:color w:val="auto"/>
                    </w:rPr>
                  </w:pPr>
                  <w:r>
                    <w:rPr>
                      <w:color w:val="auto"/>
                    </w:rPr>
                    <w:t>本项目主要风险物质为</w:t>
                  </w:r>
                  <w:r>
                    <w:rPr>
                      <w:rFonts w:hint="eastAsia"/>
                      <w:color w:val="auto"/>
                    </w:rPr>
                    <w:t>加弹剂油、机油</w:t>
                  </w:r>
                  <w:r>
                    <w:rPr>
                      <w:rFonts w:hint="eastAsia"/>
                      <w:color w:val="auto"/>
                      <w:lang w:eastAsia="zh-CN"/>
                    </w:rPr>
                    <w:t>、</w:t>
                  </w:r>
                  <w:r>
                    <w:rPr>
                      <w:rFonts w:hint="eastAsia"/>
                      <w:color w:val="auto"/>
                      <w:lang w:val="en-US" w:eastAsia="zh-CN"/>
                    </w:rPr>
                    <w:t>聚合硫酸铁</w:t>
                  </w:r>
                  <w:r>
                    <w:rPr>
                      <w:rFonts w:hint="eastAsia"/>
                      <w:color w:val="auto"/>
                    </w:rPr>
                    <w:t>以</w:t>
                  </w:r>
                  <w:r>
                    <w:rPr>
                      <w:color w:val="auto"/>
                    </w:rPr>
                    <w:t>及危险废物，</w:t>
                  </w:r>
                  <w:r>
                    <w:rPr>
                      <w:rFonts w:hint="eastAsia"/>
                      <w:color w:val="auto"/>
                    </w:rPr>
                    <w:t>加弹剂油、机油</w:t>
                  </w:r>
                  <w:r>
                    <w:rPr>
                      <w:rFonts w:hint="eastAsia"/>
                      <w:color w:val="auto"/>
                      <w:lang w:eastAsia="zh-CN"/>
                    </w:rPr>
                    <w:t>、</w:t>
                  </w:r>
                  <w:r>
                    <w:rPr>
                      <w:rFonts w:hint="eastAsia"/>
                      <w:color w:val="auto"/>
                      <w:lang w:val="en-US" w:eastAsia="zh-CN"/>
                    </w:rPr>
                    <w:t>聚合硫酸铁</w:t>
                  </w:r>
                  <w:r>
                    <w:rPr>
                      <w:rFonts w:hint="eastAsia"/>
                      <w:color w:val="auto"/>
                    </w:rPr>
                    <w:t>储存在2#厂房原料仓库内</w:t>
                  </w:r>
                  <w:r>
                    <w:rPr>
                      <w:color w:val="auto"/>
                    </w:rPr>
                    <w:t>，危险废物</w:t>
                  </w:r>
                  <w:r>
                    <w:rPr>
                      <w:rFonts w:hint="eastAsia"/>
                      <w:color w:val="auto"/>
                    </w:rPr>
                    <w:t>储存</w:t>
                  </w:r>
                  <w:r>
                    <w:rPr>
                      <w:color w:val="auto"/>
                    </w:rPr>
                    <w:t>于危废库内。</w:t>
                  </w:r>
                </w:p>
              </w:tc>
            </w:tr>
            <w:tr w14:paraId="195C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949" w:type="pct"/>
                  <w:tcBorders>
                    <w:tl2br w:val="nil"/>
                    <w:tr2bl w:val="nil"/>
                  </w:tcBorders>
                  <w:vAlign w:val="center"/>
                </w:tcPr>
                <w:p w14:paraId="6A109625">
                  <w:pPr>
                    <w:pStyle w:val="49"/>
                    <w:rPr>
                      <w:color w:val="auto"/>
                    </w:rPr>
                  </w:pPr>
                  <w:r>
                    <w:rPr>
                      <w:color w:val="auto"/>
                    </w:rPr>
                    <w:t>环境影响途径及危害后果</w:t>
                  </w:r>
                  <w:r>
                    <w:rPr>
                      <w:rFonts w:hint="eastAsia"/>
                      <w:color w:val="auto"/>
                    </w:rPr>
                    <w:t>（</w:t>
                  </w:r>
                  <w:r>
                    <w:rPr>
                      <w:color w:val="auto"/>
                    </w:rPr>
                    <w:t>大气、地表水、地下水等</w:t>
                  </w:r>
                  <w:r>
                    <w:rPr>
                      <w:rFonts w:hint="eastAsia"/>
                      <w:color w:val="auto"/>
                    </w:rPr>
                    <w:t>）</w:t>
                  </w:r>
                </w:p>
              </w:tc>
              <w:tc>
                <w:tcPr>
                  <w:tcW w:w="4050" w:type="pct"/>
                  <w:gridSpan w:val="4"/>
                  <w:tcBorders>
                    <w:tl2br w:val="nil"/>
                    <w:tr2bl w:val="nil"/>
                  </w:tcBorders>
                  <w:vAlign w:val="center"/>
                </w:tcPr>
                <w:p w14:paraId="1D27EF61">
                  <w:pPr>
                    <w:widowControl/>
                    <w:autoSpaceDE/>
                    <w:autoSpaceDN/>
                    <w:adjustRightInd/>
                    <w:snapToGrid/>
                    <w:spacing w:line="240" w:lineRule="auto"/>
                    <w:ind w:firstLine="420" w:firstLineChars="200"/>
                    <w:rPr>
                      <w:rFonts w:hint="default" w:eastAsia="宋体"/>
                      <w:color w:val="auto"/>
                      <w:lang w:val="en-US" w:eastAsia="zh-CN"/>
                    </w:rPr>
                  </w:pPr>
                  <w:r>
                    <w:rPr>
                      <w:rFonts w:hint="eastAsia"/>
                      <w:color w:val="auto"/>
                    </w:rPr>
                    <w:t>加弹剂油、机油</w:t>
                  </w:r>
                  <w:r>
                    <w:rPr>
                      <w:color w:val="auto"/>
                    </w:rPr>
                    <w:t>及危险废物等主要成分为油类物质，主要环境风险为遇明火、高热可燃，引发的火灾事故污染大气环境</w:t>
                  </w:r>
                  <w:r>
                    <w:rPr>
                      <w:rFonts w:hint="eastAsia"/>
                      <w:color w:val="auto"/>
                    </w:rPr>
                    <w:t>。另外</w:t>
                  </w:r>
                  <w:r>
                    <w:rPr>
                      <w:color w:val="auto"/>
                    </w:rPr>
                    <w:t>，事故情况下</w:t>
                  </w:r>
                  <w:r>
                    <w:rPr>
                      <w:rFonts w:hint="eastAsia"/>
                      <w:color w:val="auto"/>
                    </w:rPr>
                    <w:t>加弹剂油、机油</w:t>
                  </w:r>
                  <w:r>
                    <w:rPr>
                      <w:color w:val="auto"/>
                    </w:rPr>
                    <w:t>及危险废物等物料泄漏随地面径流进入雨水管网，最终进入附近地表水体，造成水环境污染、水生生物中毒的风险</w:t>
                  </w:r>
                  <w:r>
                    <w:rPr>
                      <w:rFonts w:hint="eastAsia"/>
                      <w:color w:val="auto"/>
                      <w:lang w:eastAsia="zh-CN"/>
                    </w:rPr>
                    <w:t>；</w:t>
                  </w:r>
                  <w:r>
                    <w:rPr>
                      <w:rFonts w:hint="eastAsia"/>
                      <w:color w:val="auto"/>
                      <w:lang w:val="en-US" w:eastAsia="zh-CN"/>
                    </w:rPr>
                    <w:t>聚合硫酸铁对皮肤、黏膜有一定的刺激性和腐蚀性，直接接触或误食聚合硫酸铁可能会对人体造成伤害。</w:t>
                  </w:r>
                </w:p>
              </w:tc>
            </w:tr>
            <w:tr w14:paraId="66B5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49" w:type="pct"/>
                  <w:tcBorders>
                    <w:tl2br w:val="nil"/>
                    <w:tr2bl w:val="nil"/>
                  </w:tcBorders>
                  <w:vAlign w:val="center"/>
                </w:tcPr>
                <w:p w14:paraId="71E97CDB">
                  <w:pPr>
                    <w:pStyle w:val="49"/>
                    <w:rPr>
                      <w:color w:val="auto"/>
                    </w:rPr>
                  </w:pPr>
                  <w:r>
                    <w:rPr>
                      <w:color w:val="auto"/>
                    </w:rPr>
                    <w:t>风险防范措施要求</w:t>
                  </w:r>
                </w:p>
              </w:tc>
              <w:tc>
                <w:tcPr>
                  <w:tcW w:w="4050" w:type="pct"/>
                  <w:gridSpan w:val="4"/>
                  <w:tcBorders>
                    <w:tl2br w:val="nil"/>
                    <w:tr2bl w:val="nil"/>
                  </w:tcBorders>
                  <w:vAlign w:val="center"/>
                </w:tcPr>
                <w:p w14:paraId="428EFDE0">
                  <w:pPr>
                    <w:pStyle w:val="51"/>
                    <w:ind w:firstLine="422" w:firstLineChars="200"/>
                    <w:jc w:val="both"/>
                    <w:rPr>
                      <w:b/>
                      <w:bCs/>
                      <w:color w:val="auto"/>
                    </w:rPr>
                  </w:pPr>
                  <w:r>
                    <w:rPr>
                      <w:b/>
                      <w:bCs/>
                      <w:color w:val="auto"/>
                    </w:rPr>
                    <w:t>1）泄漏防范措施</w:t>
                  </w:r>
                </w:p>
                <w:p w14:paraId="23C461EE">
                  <w:pPr>
                    <w:pStyle w:val="51"/>
                    <w:ind w:firstLine="420" w:firstLineChars="200"/>
                    <w:jc w:val="both"/>
                    <w:rPr>
                      <w:color w:val="auto"/>
                    </w:rPr>
                  </w:pPr>
                  <w:r>
                    <w:rPr>
                      <w:color w:val="auto"/>
                    </w:rPr>
                    <w:t>①危废仓库、</w:t>
                  </w:r>
                  <w:r>
                    <w:rPr>
                      <w:rFonts w:hint="eastAsia"/>
                      <w:color w:val="auto"/>
                    </w:rPr>
                    <w:t>原料仓库（加弹剂油区、机油区）</w:t>
                  </w:r>
                  <w:r>
                    <w:rPr>
                      <w:color w:val="auto"/>
                    </w:rPr>
                    <w:t>应满足防风、防雨等要求，设置防渗漏的地基并设置</w:t>
                  </w:r>
                  <w:r>
                    <w:rPr>
                      <w:rFonts w:hint="eastAsia"/>
                      <w:color w:val="auto"/>
                    </w:rPr>
                    <w:t>导流沟</w:t>
                  </w:r>
                  <w:r>
                    <w:rPr>
                      <w:color w:val="auto"/>
                    </w:rPr>
                    <w:t>，以确保任何物质的冒溢能被回收。危废库防渗需满足《危险废物贮存污染控制标准》</w:t>
                  </w:r>
                  <w:r>
                    <w:rPr>
                      <w:rFonts w:hint="eastAsia"/>
                      <w:color w:val="auto"/>
                    </w:rPr>
                    <w:t>（</w:t>
                  </w:r>
                  <w:r>
                    <w:rPr>
                      <w:color w:val="auto"/>
                    </w:rPr>
                    <w:t>GB18597-2023</w:t>
                  </w:r>
                  <w:r>
                    <w:rPr>
                      <w:rFonts w:hint="eastAsia"/>
                      <w:color w:val="auto"/>
                    </w:rPr>
                    <w:t>）</w:t>
                  </w:r>
                  <w:r>
                    <w:rPr>
                      <w:color w:val="auto"/>
                    </w:rPr>
                    <w:t>中相关规定，即贮存场基础防渗层至少2mm厚高密度聚乙烯膜等人工防渗材料</w:t>
                  </w:r>
                  <w:r>
                    <w:rPr>
                      <w:rFonts w:hint="eastAsia"/>
                      <w:color w:val="auto"/>
                    </w:rPr>
                    <w:t>（</w:t>
                  </w:r>
                  <w:r>
                    <w:rPr>
                      <w:color w:val="auto"/>
                    </w:rPr>
                    <w:t>渗透系数不大于1.0×10</w:t>
                  </w:r>
                  <w:r>
                    <w:rPr>
                      <w:color w:val="auto"/>
                      <w:vertAlign w:val="superscript"/>
                    </w:rPr>
                    <w:t>-10</w:t>
                  </w:r>
                  <w:r>
                    <w:rPr>
                      <w:color w:val="auto"/>
                    </w:rPr>
                    <w:t>cm/s</w:t>
                  </w:r>
                  <w:r>
                    <w:rPr>
                      <w:rFonts w:hint="eastAsia"/>
                      <w:color w:val="auto"/>
                    </w:rPr>
                    <w:t>）</w:t>
                  </w:r>
                  <w:r>
                    <w:rPr>
                      <w:color w:val="auto"/>
                    </w:rPr>
                    <w:t>，或者其他防渗性能等效的材料。</w:t>
                  </w:r>
                </w:p>
                <w:p w14:paraId="455DC11E">
                  <w:pPr>
                    <w:pStyle w:val="51"/>
                    <w:ind w:firstLine="420" w:firstLineChars="200"/>
                    <w:jc w:val="both"/>
                    <w:rPr>
                      <w:color w:val="auto"/>
                    </w:rPr>
                  </w:pPr>
                  <w:r>
                    <w:rPr>
                      <w:color w:val="auto"/>
                    </w:rPr>
                    <w:t>②做好泄漏物质的收集工作，并配备相应的应急物资</w:t>
                  </w:r>
                  <w:r>
                    <w:rPr>
                      <w:rFonts w:hint="eastAsia"/>
                      <w:color w:val="auto"/>
                    </w:rPr>
                    <w:t>（</w:t>
                  </w:r>
                  <w:r>
                    <w:rPr>
                      <w:color w:val="auto"/>
                    </w:rPr>
                    <w:t>包括空桶、沙土等</w:t>
                  </w:r>
                  <w:r>
                    <w:rPr>
                      <w:rFonts w:hint="eastAsia"/>
                      <w:color w:val="auto"/>
                    </w:rPr>
                    <w:t>）</w:t>
                  </w:r>
                  <w:r>
                    <w:rPr>
                      <w:color w:val="auto"/>
                    </w:rPr>
                    <w:t>，清理后的废物作相应处置。</w:t>
                  </w:r>
                </w:p>
                <w:p w14:paraId="5180A12D">
                  <w:pPr>
                    <w:autoSpaceDE/>
                    <w:autoSpaceDN/>
                    <w:adjustRightInd/>
                    <w:spacing w:line="240" w:lineRule="auto"/>
                    <w:ind w:firstLine="420" w:firstLineChars="200"/>
                    <w:rPr>
                      <w:color w:val="auto"/>
                    </w:rPr>
                  </w:pPr>
                  <w:r>
                    <w:rPr>
                      <w:color w:val="auto"/>
                    </w:rPr>
                    <w:t>③建立日常巡视制度，定期对设备进行维护保养。</w:t>
                  </w:r>
                </w:p>
                <w:p w14:paraId="4BE89954">
                  <w:pPr>
                    <w:autoSpaceDE/>
                    <w:autoSpaceDN/>
                    <w:adjustRightInd/>
                    <w:spacing w:line="240" w:lineRule="auto"/>
                    <w:ind w:firstLine="422" w:firstLineChars="200"/>
                    <w:rPr>
                      <w:b/>
                      <w:bCs/>
                      <w:color w:val="auto"/>
                    </w:rPr>
                  </w:pPr>
                  <w:r>
                    <w:rPr>
                      <w:b/>
                      <w:bCs/>
                      <w:color w:val="auto"/>
                    </w:rPr>
                    <w:t>2）</w:t>
                  </w:r>
                  <w:r>
                    <w:rPr>
                      <w:rFonts w:hint="eastAsia"/>
                      <w:b/>
                      <w:bCs/>
                      <w:color w:val="auto"/>
                    </w:rPr>
                    <w:t>火灾防范措施</w:t>
                  </w:r>
                </w:p>
                <w:p w14:paraId="5A2CA0B6">
                  <w:pPr>
                    <w:pStyle w:val="51"/>
                    <w:ind w:firstLine="420" w:firstLineChars="200"/>
                    <w:jc w:val="both"/>
                    <w:rPr>
                      <w:color w:val="auto"/>
                    </w:rPr>
                  </w:pPr>
                  <w:r>
                    <w:rPr>
                      <w:color w:val="auto"/>
                    </w:rPr>
                    <w:t>①车间内严禁烟火，加强通风；</w:t>
                  </w:r>
                </w:p>
                <w:p w14:paraId="52B71656">
                  <w:pPr>
                    <w:pStyle w:val="51"/>
                    <w:ind w:firstLine="420" w:firstLineChars="200"/>
                    <w:jc w:val="both"/>
                    <w:rPr>
                      <w:color w:val="auto"/>
                    </w:rPr>
                  </w:pPr>
                  <w:r>
                    <w:rPr>
                      <w:color w:val="auto"/>
                    </w:rPr>
                    <w:t>②配置消防设备设施；</w:t>
                  </w:r>
                </w:p>
                <w:p w14:paraId="4100487D">
                  <w:pPr>
                    <w:pStyle w:val="51"/>
                    <w:ind w:firstLine="420" w:firstLineChars="200"/>
                    <w:jc w:val="both"/>
                    <w:rPr>
                      <w:color w:val="auto"/>
                    </w:rPr>
                  </w:pPr>
                  <w:r>
                    <w:rPr>
                      <w:color w:val="auto"/>
                    </w:rPr>
                    <w:t>③规划</w:t>
                  </w:r>
                  <w:r>
                    <w:rPr>
                      <w:color w:val="auto"/>
                      <w:lang w:val="zh-CN"/>
                    </w:rPr>
                    <w:t>足够的消防通道，</w:t>
                  </w:r>
                  <w:r>
                    <w:rPr>
                      <w:color w:val="auto"/>
                    </w:rPr>
                    <w:t>严禁占用。</w:t>
                  </w:r>
                </w:p>
                <w:p w14:paraId="522F73D6">
                  <w:pPr>
                    <w:autoSpaceDE/>
                    <w:autoSpaceDN/>
                    <w:adjustRightInd/>
                    <w:spacing w:line="240" w:lineRule="auto"/>
                    <w:ind w:firstLine="422" w:firstLineChars="200"/>
                    <w:rPr>
                      <w:rFonts w:hint="default" w:eastAsia="宋体"/>
                      <w:b/>
                      <w:bCs/>
                      <w:color w:val="auto"/>
                      <w:lang w:val="en-US" w:eastAsia="zh-CN"/>
                    </w:rPr>
                  </w:pPr>
                  <w:r>
                    <w:rPr>
                      <w:rFonts w:hint="eastAsia"/>
                      <w:b/>
                      <w:bCs/>
                      <w:color w:val="auto"/>
                    </w:rPr>
                    <w:t>3</w:t>
                  </w:r>
                  <w:r>
                    <w:rPr>
                      <w:b/>
                      <w:bCs/>
                      <w:color w:val="auto"/>
                    </w:rPr>
                    <w:t>）</w:t>
                  </w:r>
                  <w:r>
                    <w:rPr>
                      <w:rFonts w:hint="eastAsia"/>
                      <w:b/>
                      <w:bCs/>
                      <w:color w:val="auto"/>
                      <w:lang w:val="en-US" w:eastAsia="zh-CN"/>
                    </w:rPr>
                    <w:t>聚合硫酸铁防范措施</w:t>
                  </w:r>
                </w:p>
                <w:p w14:paraId="2ECACE23">
                  <w:pPr>
                    <w:pStyle w:val="51"/>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color w:val="auto"/>
                    </w:rPr>
                  </w:pPr>
                  <w:r>
                    <w:rPr>
                      <w:color w:val="auto"/>
                    </w:rPr>
                    <w:t>①</w:t>
                  </w:r>
                  <w:r>
                    <w:rPr>
                      <w:rFonts w:hint="eastAsia"/>
                      <w:color w:val="auto"/>
                    </w:rPr>
                    <w:t>不要吸入粉尘/烟/气体/烟雾/蒸气/喷雾。作业后彻底清洗。使用本产品时不要进食、饮水或吸烟。</w:t>
                  </w:r>
                </w:p>
                <w:p w14:paraId="4F07729F">
                  <w:pPr>
                    <w:pStyle w:val="51"/>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color w:val="auto"/>
                    </w:rPr>
                  </w:pPr>
                  <w:r>
                    <w:rPr>
                      <w:color w:val="auto"/>
                    </w:rPr>
                    <w:t>②</w:t>
                  </w:r>
                  <w:r>
                    <w:rPr>
                      <w:rFonts w:hint="eastAsia"/>
                      <w:color w:val="auto"/>
                    </w:rPr>
                    <w:t>在室外或通风良好之处使用。戴防护手套/穿防护服/戴防护眼罩/戴防护面具。</w:t>
                  </w:r>
                </w:p>
                <w:p w14:paraId="5E7F0967">
                  <w:pPr>
                    <w:pStyle w:val="51"/>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color w:val="auto"/>
                    </w:rPr>
                  </w:pPr>
                  <w:r>
                    <w:rPr>
                      <w:color w:val="auto"/>
                    </w:rPr>
                    <w:t>③</w:t>
                  </w:r>
                  <w:r>
                    <w:rPr>
                      <w:rFonts w:hint="eastAsia"/>
                      <w:color w:val="auto"/>
                    </w:rPr>
                    <w:t>如感觉不适，呼叫解毒中心/医生</w:t>
                  </w:r>
                  <w:r>
                    <w:rPr>
                      <w:rFonts w:hint="eastAsia"/>
                      <w:color w:val="auto"/>
                      <w:lang w:eastAsia="zh-CN"/>
                    </w:rPr>
                    <w:t>、</w:t>
                  </w:r>
                  <w:r>
                    <w:rPr>
                      <w:rFonts w:hint="eastAsia"/>
                      <w:color w:val="auto"/>
                    </w:rPr>
                    <w:t>漱口</w:t>
                  </w:r>
                  <w:r>
                    <w:rPr>
                      <w:rFonts w:hint="eastAsia"/>
                      <w:color w:val="auto"/>
                      <w:lang w:eastAsia="zh-CN"/>
                    </w:rPr>
                    <w:t>、</w:t>
                  </w:r>
                  <w:r>
                    <w:rPr>
                      <w:rFonts w:hint="eastAsia"/>
                      <w:color w:val="auto"/>
                    </w:rPr>
                    <w:t>立即去除/脱掉所有沾染的衣服。沾染的衣服清洗后方可重新使用。如误吞咽</w:t>
                  </w:r>
                  <w:r>
                    <w:rPr>
                      <w:rFonts w:hint="eastAsia"/>
                      <w:color w:val="auto"/>
                      <w:lang w:eastAsia="zh-CN"/>
                    </w:rPr>
                    <w:t>，</w:t>
                  </w:r>
                  <w:r>
                    <w:rPr>
                      <w:rFonts w:hint="eastAsia"/>
                      <w:color w:val="auto"/>
                    </w:rPr>
                    <w:t>立即呼叫中毒急救中心或医生。如误吸入</w:t>
                  </w:r>
                  <w:r>
                    <w:rPr>
                      <w:rFonts w:hint="eastAsia"/>
                      <w:color w:val="auto"/>
                      <w:lang w:eastAsia="zh-CN"/>
                    </w:rPr>
                    <w:t>，</w:t>
                  </w:r>
                  <w:r>
                    <w:rPr>
                      <w:rFonts w:hint="eastAsia"/>
                      <w:color w:val="auto"/>
                    </w:rPr>
                    <w:t>将受害人转移到空气新鲜处，保持呼吸舒适的休息姿势。如接触到</w:t>
                  </w:r>
                  <w:r>
                    <w:rPr>
                      <w:rFonts w:hint="eastAsia"/>
                      <w:color w:val="auto"/>
                      <w:lang w:eastAsia="zh-CN"/>
                    </w:rPr>
                    <w:t>，</w:t>
                  </w:r>
                  <w:r>
                    <w:rPr>
                      <w:rFonts w:hint="eastAsia"/>
                      <w:color w:val="auto"/>
                    </w:rPr>
                    <w:t>呼叫中毒急救中心/医生。如皮肤</w:t>
                  </w:r>
                  <w:r>
                    <w:rPr>
                      <w:rFonts w:hint="eastAsia"/>
                      <w:color w:val="auto"/>
                      <w:lang w:eastAsia="zh-CN"/>
                    </w:rPr>
                    <w:t>（</w:t>
                  </w:r>
                  <w:r>
                    <w:rPr>
                      <w:rFonts w:hint="eastAsia"/>
                      <w:color w:val="auto"/>
                    </w:rPr>
                    <w:t>或头发</w:t>
                  </w:r>
                  <w:r>
                    <w:rPr>
                      <w:rFonts w:hint="eastAsia"/>
                      <w:color w:val="auto"/>
                      <w:lang w:eastAsia="zh-CN"/>
                    </w:rPr>
                    <w:t>）</w:t>
                  </w:r>
                  <w:r>
                    <w:rPr>
                      <w:rFonts w:hint="eastAsia"/>
                      <w:color w:val="auto"/>
                    </w:rPr>
                    <w:t>沾染</w:t>
                  </w:r>
                  <w:r>
                    <w:rPr>
                      <w:rFonts w:hint="eastAsia"/>
                      <w:color w:val="auto"/>
                      <w:lang w:eastAsia="zh-CN"/>
                    </w:rPr>
                    <w:t>，</w:t>
                  </w:r>
                  <w:r>
                    <w:rPr>
                      <w:rFonts w:hint="eastAsia"/>
                      <w:color w:val="auto"/>
                    </w:rPr>
                    <w:t>立即去除/脱掉所有沾染的衣服。用水清洗皮肤/淋浴。</w:t>
                  </w:r>
                </w:p>
                <w:p w14:paraId="21711D53">
                  <w:pPr>
                    <w:pStyle w:val="51"/>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default" w:ascii="Times New Roman" w:hAnsi="Times New Roman" w:cs="Times New Roman"/>
                      <w:color w:val="auto"/>
                    </w:rPr>
                  </w:pPr>
                  <w:r>
                    <w:rPr>
                      <w:rFonts w:hint="default" w:ascii="Times New Roman" w:hAnsi="Times New Roman" w:eastAsia="微软雅黑" w:cs="Times New Roman"/>
                      <w:color w:val="auto"/>
                    </w:rPr>
                    <w:t>④</w:t>
                  </w:r>
                  <w:r>
                    <w:rPr>
                      <w:rFonts w:hint="default" w:ascii="Times New Roman" w:hAnsi="Times New Roman" w:cs="Times New Roman"/>
                      <w:color w:val="auto"/>
                    </w:rPr>
                    <w:t>存放在通风良好的地方。保持容器密闭。保持低温。</w:t>
                  </w:r>
                </w:p>
                <w:p w14:paraId="762F599E">
                  <w:pPr>
                    <w:autoSpaceDE/>
                    <w:autoSpaceDN/>
                    <w:adjustRightInd/>
                    <w:spacing w:line="240" w:lineRule="auto"/>
                    <w:ind w:firstLine="422" w:firstLineChars="200"/>
                    <w:rPr>
                      <w:b/>
                      <w:bCs/>
                      <w:color w:val="auto"/>
                    </w:rPr>
                  </w:pPr>
                  <w:r>
                    <w:rPr>
                      <w:rFonts w:hint="eastAsia"/>
                      <w:b/>
                      <w:bCs/>
                      <w:color w:val="auto"/>
                      <w:lang w:val="en-US" w:eastAsia="zh-CN"/>
                    </w:rPr>
                    <w:t>4）</w:t>
                  </w:r>
                  <w:r>
                    <w:rPr>
                      <w:b/>
                      <w:bCs/>
                      <w:color w:val="auto"/>
                    </w:rPr>
                    <w:t>废气处理设施风险防范措施</w:t>
                  </w:r>
                </w:p>
                <w:p w14:paraId="6A2D47F5">
                  <w:pPr>
                    <w:pStyle w:val="51"/>
                    <w:ind w:firstLine="420" w:firstLineChars="200"/>
                    <w:jc w:val="both"/>
                    <w:rPr>
                      <w:color w:val="auto"/>
                    </w:rPr>
                  </w:pPr>
                  <w:r>
                    <w:rPr>
                      <w:color w:val="auto"/>
                    </w:rPr>
                    <w:t>当发生废气事故性排放时，应立即查找事故原因，如是生产过程中发生异常，应立即停止生产，对设备进行检修，排除故障；如是废气处理装置出现故障，应立即启用备用处理装置，将废气切换至备用处理装置进行处理，并迅速清除废气处理设施的故障；如废气处理装置未设置备用处理装置，应立即停产，待事故解除后方可生产。</w:t>
                  </w:r>
                </w:p>
                <w:p w14:paraId="227922EB">
                  <w:pPr>
                    <w:autoSpaceDE/>
                    <w:autoSpaceDN/>
                    <w:adjustRightInd/>
                    <w:spacing w:line="240" w:lineRule="auto"/>
                    <w:ind w:firstLine="422" w:firstLineChars="200"/>
                    <w:rPr>
                      <w:b/>
                      <w:bCs/>
                      <w:color w:val="auto"/>
                    </w:rPr>
                  </w:pPr>
                  <w:r>
                    <w:rPr>
                      <w:rFonts w:hint="eastAsia"/>
                      <w:b/>
                      <w:bCs/>
                      <w:color w:val="auto"/>
                    </w:rPr>
                    <w:t>4）环保设施安全评价</w:t>
                  </w:r>
                </w:p>
                <w:p w14:paraId="188CE59B">
                  <w:pPr>
                    <w:autoSpaceDE/>
                    <w:autoSpaceDN/>
                    <w:adjustRightInd/>
                    <w:spacing w:line="240" w:lineRule="auto"/>
                    <w:ind w:firstLine="420" w:firstLineChars="200"/>
                    <w:rPr>
                      <w:rFonts w:hint="eastAsia" w:eastAsia="宋体"/>
                      <w:b w:val="0"/>
                      <w:bCs w:val="0"/>
                      <w:color w:val="auto"/>
                      <w:lang w:val="en-US" w:eastAsia="zh-CN"/>
                    </w:rPr>
                  </w:pPr>
                  <w:r>
                    <w:rPr>
                      <w:rFonts w:hint="eastAsia"/>
                      <w:b w:val="0"/>
                      <w:bCs w:val="0"/>
                      <w:color w:val="auto"/>
                    </w:rPr>
                    <w:t>建议企业编制环保设施安全评价</w:t>
                  </w:r>
                  <w:r>
                    <w:rPr>
                      <w:rFonts w:hint="eastAsia"/>
                      <w:b w:val="0"/>
                      <w:bCs w:val="0"/>
                      <w:color w:val="auto"/>
                      <w:lang w:val="en-US" w:eastAsia="zh-CN"/>
                    </w:rPr>
                    <w:t>及备案工作</w:t>
                  </w:r>
                  <w:r>
                    <w:rPr>
                      <w:rFonts w:hint="eastAsia"/>
                      <w:b w:val="0"/>
                      <w:bCs w:val="0"/>
                      <w:color w:val="auto"/>
                    </w:rPr>
                    <w:t>，做好环保设施的平面布局，确保有效防控安全事故的产生</w:t>
                  </w:r>
                  <w:r>
                    <w:rPr>
                      <w:rFonts w:hint="eastAsia"/>
                      <w:b w:val="0"/>
                      <w:bCs w:val="0"/>
                      <w:color w:val="auto"/>
                      <w:lang w:eastAsia="zh-CN"/>
                    </w:rPr>
                    <w:t>。</w:t>
                  </w:r>
                </w:p>
                <w:p w14:paraId="0D5B62EA">
                  <w:pPr>
                    <w:autoSpaceDE/>
                    <w:autoSpaceDN/>
                    <w:adjustRightInd/>
                    <w:spacing w:line="240" w:lineRule="auto"/>
                    <w:ind w:firstLine="422" w:firstLineChars="200"/>
                    <w:rPr>
                      <w:b/>
                      <w:bCs/>
                      <w:color w:val="auto"/>
                    </w:rPr>
                  </w:pPr>
                  <w:r>
                    <w:rPr>
                      <w:rFonts w:hint="eastAsia"/>
                      <w:b/>
                      <w:bCs/>
                      <w:color w:val="auto"/>
                      <w:lang w:val="en-US" w:eastAsia="zh-CN"/>
                    </w:rPr>
                    <w:t>5）</w:t>
                  </w:r>
                  <w:r>
                    <w:rPr>
                      <w:b/>
                      <w:bCs/>
                      <w:color w:val="auto"/>
                    </w:rPr>
                    <w:t>突发环境事件应急预案与应急联动要求</w:t>
                  </w:r>
                </w:p>
                <w:p w14:paraId="5A7F8F63">
                  <w:pPr>
                    <w:autoSpaceDE/>
                    <w:autoSpaceDN/>
                    <w:adjustRightInd/>
                    <w:spacing w:line="240" w:lineRule="auto"/>
                    <w:ind w:firstLine="420" w:firstLineChars="200"/>
                    <w:rPr>
                      <w:color w:val="auto"/>
                    </w:rPr>
                  </w:pPr>
                  <w:r>
                    <w:rPr>
                      <w:rFonts w:hint="eastAsia"/>
                      <w:color w:val="auto"/>
                    </w:rPr>
                    <w:t>根据《做好生态环境和应急管理部门联动工作的意见》（苏环办〔2020〕101号），建设单位须加强环境风险管控，开展内部污染防治设施安全风险辨识，健全污染防治设施稳定运行和管理责任制度，确保环境治理设施安全、稳定、有效运行。加强日常监督检查，避免发生事故影响环境。建设单位应根据项目生产特点和事故隐患分析，制定突发环境事件应急防范措施，建立事故应急组织管理制度，并定期组织消防安全演练。</w:t>
                  </w:r>
                </w:p>
              </w:tc>
            </w:tr>
            <w:tr w14:paraId="6081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5"/>
                  <w:tcBorders>
                    <w:tl2br w:val="nil"/>
                    <w:tr2bl w:val="nil"/>
                  </w:tcBorders>
                  <w:vAlign w:val="center"/>
                </w:tcPr>
                <w:p w14:paraId="22915465">
                  <w:pPr>
                    <w:pStyle w:val="51"/>
                    <w:rPr>
                      <w:color w:val="auto"/>
                    </w:rPr>
                  </w:pPr>
                  <w:r>
                    <w:rPr>
                      <w:color w:val="auto"/>
                    </w:rPr>
                    <w:t>填表说明</w:t>
                  </w:r>
                  <w:r>
                    <w:rPr>
                      <w:rFonts w:hint="eastAsia"/>
                      <w:color w:val="auto"/>
                    </w:rPr>
                    <w:t>（</w:t>
                  </w:r>
                  <w:r>
                    <w:rPr>
                      <w:color w:val="auto"/>
                    </w:rPr>
                    <w:t>列出项目相关信息及评价说明</w:t>
                  </w:r>
                  <w:r>
                    <w:rPr>
                      <w:rFonts w:hint="eastAsia"/>
                      <w:color w:val="auto"/>
                    </w:rPr>
                    <w:t>）</w:t>
                  </w:r>
                  <w:r>
                    <w:rPr>
                      <w:color w:val="auto"/>
                    </w:rPr>
                    <w:t>：项目环境风险潜势为Ⅰ，评价等级为简单分析</w:t>
                  </w:r>
                </w:p>
              </w:tc>
            </w:tr>
          </w:tbl>
          <w:p w14:paraId="4FFC0255">
            <w:pPr>
              <w:pStyle w:val="51"/>
              <w:jc w:val="both"/>
              <w:rPr>
                <w:color w:val="auto"/>
              </w:rPr>
            </w:pPr>
          </w:p>
          <w:p w14:paraId="3589DBD4">
            <w:pPr>
              <w:pStyle w:val="51"/>
              <w:jc w:val="both"/>
              <w:rPr>
                <w:color w:val="auto"/>
              </w:rPr>
            </w:pPr>
          </w:p>
          <w:p w14:paraId="2C4E03A4">
            <w:pPr>
              <w:pStyle w:val="51"/>
              <w:jc w:val="both"/>
              <w:rPr>
                <w:color w:val="auto"/>
              </w:rPr>
            </w:pPr>
          </w:p>
          <w:p w14:paraId="37C60B58">
            <w:pPr>
              <w:pStyle w:val="51"/>
              <w:jc w:val="both"/>
              <w:rPr>
                <w:color w:val="auto"/>
              </w:rPr>
            </w:pPr>
          </w:p>
          <w:p w14:paraId="031F048A">
            <w:pPr>
              <w:pStyle w:val="51"/>
              <w:jc w:val="both"/>
              <w:rPr>
                <w:color w:val="auto"/>
              </w:rPr>
            </w:pPr>
          </w:p>
          <w:p w14:paraId="3204D918">
            <w:pPr>
              <w:pStyle w:val="51"/>
              <w:jc w:val="both"/>
              <w:rPr>
                <w:color w:val="auto"/>
              </w:rPr>
            </w:pPr>
          </w:p>
          <w:p w14:paraId="428739A3">
            <w:pPr>
              <w:pStyle w:val="51"/>
              <w:jc w:val="both"/>
              <w:rPr>
                <w:color w:val="auto"/>
              </w:rPr>
            </w:pPr>
          </w:p>
          <w:p w14:paraId="17FDB088">
            <w:pPr>
              <w:pStyle w:val="51"/>
              <w:jc w:val="both"/>
              <w:rPr>
                <w:color w:val="auto"/>
              </w:rPr>
            </w:pPr>
          </w:p>
          <w:p w14:paraId="442BF65E">
            <w:pPr>
              <w:pStyle w:val="51"/>
              <w:jc w:val="both"/>
              <w:rPr>
                <w:color w:val="auto"/>
              </w:rPr>
            </w:pPr>
          </w:p>
          <w:p w14:paraId="7FFDE8D6">
            <w:pPr>
              <w:pStyle w:val="51"/>
              <w:jc w:val="both"/>
              <w:rPr>
                <w:color w:val="auto"/>
              </w:rPr>
            </w:pPr>
          </w:p>
          <w:p w14:paraId="2BC2ED7A">
            <w:pPr>
              <w:pStyle w:val="51"/>
              <w:jc w:val="both"/>
              <w:rPr>
                <w:color w:val="auto"/>
              </w:rPr>
            </w:pPr>
          </w:p>
          <w:p w14:paraId="53107EF9">
            <w:pPr>
              <w:pStyle w:val="51"/>
              <w:jc w:val="both"/>
              <w:rPr>
                <w:color w:val="auto"/>
              </w:rPr>
            </w:pPr>
          </w:p>
          <w:p w14:paraId="37B9DB03">
            <w:pPr>
              <w:pStyle w:val="51"/>
              <w:jc w:val="both"/>
              <w:rPr>
                <w:color w:val="auto"/>
              </w:rPr>
            </w:pPr>
          </w:p>
          <w:p w14:paraId="52C1CD2C">
            <w:pPr>
              <w:pStyle w:val="51"/>
              <w:jc w:val="both"/>
              <w:rPr>
                <w:color w:val="auto"/>
              </w:rPr>
            </w:pPr>
          </w:p>
          <w:p w14:paraId="69D2BBD7">
            <w:pPr>
              <w:pStyle w:val="51"/>
              <w:jc w:val="both"/>
              <w:rPr>
                <w:color w:val="auto"/>
              </w:rPr>
            </w:pPr>
          </w:p>
          <w:p w14:paraId="7C59F863">
            <w:pPr>
              <w:pStyle w:val="51"/>
              <w:jc w:val="both"/>
              <w:rPr>
                <w:color w:val="auto"/>
              </w:rPr>
            </w:pPr>
          </w:p>
          <w:p w14:paraId="4643C952">
            <w:pPr>
              <w:pStyle w:val="51"/>
              <w:jc w:val="both"/>
              <w:rPr>
                <w:color w:val="auto"/>
              </w:rPr>
            </w:pPr>
          </w:p>
          <w:p w14:paraId="540C3F31">
            <w:pPr>
              <w:pStyle w:val="51"/>
              <w:jc w:val="both"/>
              <w:rPr>
                <w:color w:val="auto"/>
              </w:rPr>
            </w:pPr>
          </w:p>
          <w:p w14:paraId="113FD896">
            <w:pPr>
              <w:pStyle w:val="51"/>
              <w:jc w:val="both"/>
              <w:rPr>
                <w:color w:val="auto"/>
              </w:rPr>
            </w:pPr>
          </w:p>
          <w:p w14:paraId="5BB51D98">
            <w:pPr>
              <w:pStyle w:val="51"/>
              <w:jc w:val="both"/>
              <w:rPr>
                <w:color w:val="auto"/>
              </w:rPr>
            </w:pPr>
          </w:p>
          <w:p w14:paraId="6EA3D6F5">
            <w:pPr>
              <w:pStyle w:val="51"/>
              <w:jc w:val="both"/>
              <w:rPr>
                <w:color w:val="auto"/>
              </w:rPr>
            </w:pPr>
          </w:p>
          <w:p w14:paraId="77346077">
            <w:pPr>
              <w:pStyle w:val="51"/>
              <w:jc w:val="both"/>
              <w:rPr>
                <w:color w:val="auto"/>
              </w:rPr>
            </w:pPr>
          </w:p>
          <w:p w14:paraId="79CA4FA8">
            <w:pPr>
              <w:pStyle w:val="51"/>
              <w:jc w:val="both"/>
              <w:rPr>
                <w:color w:val="auto"/>
              </w:rPr>
            </w:pPr>
          </w:p>
          <w:p w14:paraId="3383D359">
            <w:pPr>
              <w:pStyle w:val="51"/>
              <w:jc w:val="both"/>
              <w:rPr>
                <w:color w:val="auto"/>
              </w:rPr>
            </w:pPr>
          </w:p>
          <w:p w14:paraId="262B73F4">
            <w:pPr>
              <w:pStyle w:val="51"/>
              <w:jc w:val="both"/>
              <w:rPr>
                <w:color w:val="auto"/>
              </w:rPr>
            </w:pPr>
          </w:p>
          <w:p w14:paraId="353B3826">
            <w:pPr>
              <w:pStyle w:val="51"/>
              <w:jc w:val="both"/>
              <w:rPr>
                <w:color w:val="auto"/>
              </w:rPr>
            </w:pPr>
          </w:p>
          <w:p w14:paraId="258CE528">
            <w:pPr>
              <w:pStyle w:val="51"/>
              <w:jc w:val="both"/>
              <w:rPr>
                <w:color w:val="auto"/>
              </w:rPr>
            </w:pPr>
          </w:p>
          <w:p w14:paraId="40C883C1">
            <w:pPr>
              <w:pStyle w:val="51"/>
              <w:jc w:val="both"/>
              <w:rPr>
                <w:color w:val="auto"/>
              </w:rPr>
            </w:pPr>
          </w:p>
          <w:p w14:paraId="703DF43F">
            <w:pPr>
              <w:pStyle w:val="51"/>
              <w:jc w:val="both"/>
              <w:rPr>
                <w:color w:val="auto"/>
              </w:rPr>
            </w:pPr>
          </w:p>
          <w:p w14:paraId="13CE178E">
            <w:pPr>
              <w:pStyle w:val="51"/>
              <w:jc w:val="both"/>
              <w:rPr>
                <w:color w:val="auto"/>
              </w:rPr>
            </w:pPr>
          </w:p>
          <w:p w14:paraId="6B075C8B">
            <w:pPr>
              <w:pStyle w:val="51"/>
              <w:jc w:val="both"/>
              <w:rPr>
                <w:color w:val="auto"/>
              </w:rPr>
            </w:pPr>
          </w:p>
          <w:p w14:paraId="7DC3DCAC">
            <w:pPr>
              <w:pStyle w:val="51"/>
              <w:jc w:val="both"/>
              <w:rPr>
                <w:color w:val="auto"/>
              </w:rPr>
            </w:pPr>
          </w:p>
          <w:p w14:paraId="7AD2AC1D">
            <w:pPr>
              <w:pStyle w:val="51"/>
              <w:jc w:val="both"/>
              <w:rPr>
                <w:color w:val="auto"/>
              </w:rPr>
            </w:pPr>
          </w:p>
          <w:p w14:paraId="6E174B19">
            <w:pPr>
              <w:pStyle w:val="51"/>
              <w:jc w:val="both"/>
              <w:rPr>
                <w:color w:val="auto"/>
              </w:rPr>
            </w:pPr>
          </w:p>
          <w:p w14:paraId="1C3AA4C4">
            <w:pPr>
              <w:pStyle w:val="51"/>
              <w:jc w:val="both"/>
              <w:rPr>
                <w:color w:val="auto"/>
              </w:rPr>
            </w:pPr>
          </w:p>
        </w:tc>
      </w:tr>
    </w:tbl>
    <w:p w14:paraId="07AD5AA4">
      <w:pPr>
        <w:pStyle w:val="47"/>
        <w:ind w:firstLine="480"/>
        <w:rPr>
          <w:color w:val="auto"/>
        </w:rPr>
        <w:sectPr>
          <w:pgSz w:w="11906" w:h="16838"/>
          <w:pgMar w:top="1701" w:right="1417" w:bottom="1701" w:left="1417" w:header="851" w:footer="851" w:gutter="0"/>
          <w:cols w:space="720" w:num="1"/>
          <w:docGrid w:linePitch="312" w:charSpace="0"/>
        </w:sectPr>
      </w:pPr>
      <w:bookmarkStart w:id="89" w:name="_Toc7041"/>
    </w:p>
    <w:p w14:paraId="4FB07D3C">
      <w:pPr>
        <w:pStyle w:val="2"/>
        <w:spacing w:line="240" w:lineRule="auto"/>
        <w:rPr>
          <w:color w:val="auto"/>
        </w:rPr>
      </w:pPr>
      <w:bookmarkStart w:id="90" w:name="_Toc24336"/>
      <w:r>
        <w:rPr>
          <w:color w:val="auto"/>
        </w:rPr>
        <w:t>五、</w:t>
      </w:r>
      <w:bookmarkStart w:id="91" w:name="_Hlk54167917"/>
      <w:r>
        <w:rPr>
          <w:color w:val="auto"/>
        </w:rPr>
        <w:t>环境保护措施监督检查清单</w:t>
      </w:r>
      <w:bookmarkEnd w:id="89"/>
      <w:bookmarkEnd w:id="90"/>
      <w:bookmarkEnd w:id="91"/>
    </w:p>
    <w:tbl>
      <w:tblPr>
        <w:tblStyle w:val="15"/>
        <w:tblW w:w="51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612"/>
        <w:gridCol w:w="1473"/>
        <w:gridCol w:w="1313"/>
        <w:gridCol w:w="2227"/>
        <w:gridCol w:w="2904"/>
      </w:tblGrid>
      <w:tr w14:paraId="086C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23" w:type="pct"/>
            <w:tcBorders>
              <w:tl2br w:val="single" w:color="auto" w:sz="4" w:space="0"/>
            </w:tcBorders>
            <w:shd w:val="clear" w:color="auto" w:fill="auto"/>
            <w:vAlign w:val="center"/>
          </w:tcPr>
          <w:p w14:paraId="2CD6E2BE">
            <w:pPr>
              <w:pStyle w:val="49"/>
              <w:jc w:val="right"/>
              <w:rPr>
                <w:color w:val="auto"/>
              </w:rPr>
            </w:pPr>
            <w:bookmarkStart w:id="92" w:name="_Toc10537"/>
            <w:r>
              <w:rPr>
                <w:color w:val="auto"/>
              </w:rPr>
              <w:t xml:space="preserve">   内容</w:t>
            </w:r>
          </w:p>
          <w:p w14:paraId="1A77CE08">
            <w:pPr>
              <w:pStyle w:val="49"/>
              <w:rPr>
                <w:color w:val="auto"/>
              </w:rPr>
            </w:pPr>
          </w:p>
          <w:p w14:paraId="54DEF489">
            <w:pPr>
              <w:pStyle w:val="49"/>
              <w:jc w:val="left"/>
              <w:rPr>
                <w:color w:val="auto"/>
              </w:rPr>
            </w:pPr>
            <w:r>
              <w:rPr>
                <w:color w:val="auto"/>
              </w:rPr>
              <w:t>要素</w:t>
            </w:r>
          </w:p>
        </w:tc>
        <w:tc>
          <w:tcPr>
            <w:tcW w:w="1094" w:type="pct"/>
            <w:gridSpan w:val="2"/>
            <w:shd w:val="clear" w:color="auto" w:fill="auto"/>
            <w:vAlign w:val="center"/>
          </w:tcPr>
          <w:p w14:paraId="511C35BC">
            <w:pPr>
              <w:pStyle w:val="49"/>
              <w:rPr>
                <w:color w:val="auto"/>
              </w:rPr>
            </w:pPr>
            <w:r>
              <w:rPr>
                <w:color w:val="auto"/>
              </w:rPr>
              <w:t>排放口（编号、名称）/污染源</w:t>
            </w:r>
          </w:p>
        </w:tc>
        <w:tc>
          <w:tcPr>
            <w:tcW w:w="689" w:type="pct"/>
            <w:shd w:val="clear" w:color="auto" w:fill="auto"/>
            <w:vAlign w:val="center"/>
          </w:tcPr>
          <w:p w14:paraId="3196E3C2">
            <w:pPr>
              <w:pStyle w:val="49"/>
              <w:rPr>
                <w:color w:val="auto"/>
              </w:rPr>
            </w:pPr>
            <w:r>
              <w:rPr>
                <w:color w:val="auto"/>
              </w:rPr>
              <w:t>污染物项目</w:t>
            </w:r>
          </w:p>
        </w:tc>
        <w:tc>
          <w:tcPr>
            <w:tcW w:w="1169" w:type="pct"/>
            <w:shd w:val="clear" w:color="auto" w:fill="auto"/>
            <w:vAlign w:val="center"/>
          </w:tcPr>
          <w:p w14:paraId="425477F3">
            <w:pPr>
              <w:pStyle w:val="49"/>
              <w:rPr>
                <w:color w:val="auto"/>
              </w:rPr>
            </w:pPr>
            <w:r>
              <w:rPr>
                <w:color w:val="auto"/>
              </w:rPr>
              <w:t>环境保护措施</w:t>
            </w:r>
          </w:p>
        </w:tc>
        <w:tc>
          <w:tcPr>
            <w:tcW w:w="1523" w:type="pct"/>
            <w:shd w:val="clear" w:color="auto" w:fill="auto"/>
            <w:vAlign w:val="center"/>
          </w:tcPr>
          <w:p w14:paraId="3246F24B">
            <w:pPr>
              <w:pStyle w:val="49"/>
              <w:rPr>
                <w:color w:val="auto"/>
              </w:rPr>
            </w:pPr>
            <w:r>
              <w:rPr>
                <w:color w:val="auto"/>
              </w:rPr>
              <w:t>执行标准</w:t>
            </w:r>
          </w:p>
        </w:tc>
      </w:tr>
      <w:tr w14:paraId="7A58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3" w:type="pct"/>
            <w:vMerge w:val="restart"/>
            <w:shd w:val="clear" w:color="auto" w:fill="auto"/>
            <w:vAlign w:val="center"/>
          </w:tcPr>
          <w:p w14:paraId="69F91BC5">
            <w:pPr>
              <w:pStyle w:val="51"/>
              <w:rPr>
                <w:color w:val="auto"/>
              </w:rPr>
            </w:pPr>
            <w:r>
              <w:rPr>
                <w:color w:val="auto"/>
              </w:rPr>
              <w:t>大气环境</w:t>
            </w:r>
          </w:p>
        </w:tc>
        <w:tc>
          <w:tcPr>
            <w:tcW w:w="321" w:type="pct"/>
            <w:vMerge w:val="restart"/>
            <w:shd w:val="clear" w:color="auto" w:fill="auto"/>
            <w:vAlign w:val="center"/>
          </w:tcPr>
          <w:p w14:paraId="00C3A99E">
            <w:pPr>
              <w:pStyle w:val="51"/>
              <w:rPr>
                <w:color w:val="auto"/>
              </w:rPr>
            </w:pPr>
            <w:r>
              <w:rPr>
                <w:color w:val="auto"/>
              </w:rPr>
              <w:t>有组织</w:t>
            </w:r>
          </w:p>
        </w:tc>
        <w:tc>
          <w:tcPr>
            <w:tcW w:w="773" w:type="pct"/>
            <w:shd w:val="clear" w:color="auto" w:fill="auto"/>
            <w:vAlign w:val="center"/>
          </w:tcPr>
          <w:p w14:paraId="1FC1EB76">
            <w:pPr>
              <w:pStyle w:val="51"/>
              <w:rPr>
                <w:color w:val="auto"/>
              </w:rPr>
            </w:pPr>
            <w:r>
              <w:rPr>
                <w:rFonts w:hint="eastAsia"/>
                <w:color w:val="auto"/>
              </w:rPr>
              <w:t>1~5#加弹机（</w:t>
            </w:r>
            <w:r>
              <w:rPr>
                <w:color w:val="auto"/>
              </w:rPr>
              <w:t>DA001</w:t>
            </w:r>
            <w:r>
              <w:rPr>
                <w:rFonts w:hint="eastAsia"/>
                <w:color w:val="auto"/>
              </w:rPr>
              <w:t>）</w:t>
            </w:r>
          </w:p>
        </w:tc>
        <w:tc>
          <w:tcPr>
            <w:tcW w:w="689" w:type="pct"/>
            <w:shd w:val="clear" w:color="auto" w:fill="auto"/>
            <w:vAlign w:val="center"/>
          </w:tcPr>
          <w:p w14:paraId="794FCA10">
            <w:pPr>
              <w:pStyle w:val="51"/>
              <w:rPr>
                <w:color w:val="auto"/>
              </w:rPr>
            </w:pPr>
            <w:r>
              <w:rPr>
                <w:rFonts w:hint="eastAsia"/>
                <w:color w:val="auto"/>
              </w:rPr>
              <w:t>非甲烷总烃</w:t>
            </w:r>
          </w:p>
        </w:tc>
        <w:tc>
          <w:tcPr>
            <w:tcW w:w="1169" w:type="pct"/>
            <w:shd w:val="clear" w:color="auto" w:fill="auto"/>
            <w:vAlign w:val="center"/>
          </w:tcPr>
          <w:p w14:paraId="2A0BBE57">
            <w:pPr>
              <w:pStyle w:val="51"/>
              <w:rPr>
                <w:color w:val="auto"/>
              </w:rPr>
            </w:pPr>
            <w:r>
              <w:rPr>
                <w:rFonts w:hint="eastAsia"/>
                <w:color w:val="auto"/>
              </w:rPr>
              <w:t>管道</w:t>
            </w:r>
            <w:r>
              <w:rPr>
                <w:color w:val="auto"/>
              </w:rPr>
              <w:t>+</w:t>
            </w:r>
            <w:r>
              <w:rPr>
                <w:rFonts w:hint="eastAsia"/>
                <w:color w:val="auto"/>
              </w:rPr>
              <w:t>1#高压静电油烟净化器</w:t>
            </w:r>
            <w:r>
              <w:rPr>
                <w:color w:val="auto"/>
              </w:rPr>
              <w:t>+15m排气筒（DA001）</w:t>
            </w:r>
          </w:p>
        </w:tc>
        <w:tc>
          <w:tcPr>
            <w:tcW w:w="1523" w:type="pct"/>
            <w:vMerge w:val="restart"/>
            <w:shd w:val="clear" w:color="auto" w:fill="auto"/>
            <w:vAlign w:val="center"/>
          </w:tcPr>
          <w:p w14:paraId="0384C01F">
            <w:pPr>
              <w:pStyle w:val="51"/>
              <w:rPr>
                <w:color w:val="auto"/>
              </w:rPr>
            </w:pPr>
            <w:r>
              <w:rPr>
                <w:color w:val="auto"/>
              </w:rPr>
              <w:t>《大气污染物综合排放标准》（DB 32/4041-2021）表</w:t>
            </w:r>
            <w:r>
              <w:rPr>
                <w:rFonts w:hint="eastAsia"/>
                <w:color w:val="auto"/>
              </w:rPr>
              <w:t>1</w:t>
            </w:r>
          </w:p>
        </w:tc>
      </w:tr>
      <w:tr w14:paraId="65EE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3" w:type="pct"/>
            <w:vMerge w:val="continue"/>
            <w:shd w:val="clear" w:color="auto" w:fill="auto"/>
            <w:vAlign w:val="center"/>
          </w:tcPr>
          <w:p w14:paraId="2EFF3DD8">
            <w:pPr>
              <w:pStyle w:val="51"/>
              <w:rPr>
                <w:color w:val="auto"/>
              </w:rPr>
            </w:pPr>
          </w:p>
        </w:tc>
        <w:tc>
          <w:tcPr>
            <w:tcW w:w="321" w:type="pct"/>
            <w:vMerge w:val="continue"/>
            <w:shd w:val="clear" w:color="auto" w:fill="auto"/>
            <w:vAlign w:val="center"/>
          </w:tcPr>
          <w:p w14:paraId="076A9375">
            <w:pPr>
              <w:pStyle w:val="51"/>
              <w:rPr>
                <w:color w:val="auto"/>
              </w:rPr>
            </w:pPr>
          </w:p>
        </w:tc>
        <w:tc>
          <w:tcPr>
            <w:tcW w:w="773" w:type="pct"/>
            <w:shd w:val="clear" w:color="auto" w:fill="auto"/>
            <w:vAlign w:val="center"/>
          </w:tcPr>
          <w:p w14:paraId="060E1040">
            <w:pPr>
              <w:pStyle w:val="51"/>
              <w:rPr>
                <w:color w:val="auto"/>
              </w:rPr>
            </w:pPr>
            <w:r>
              <w:rPr>
                <w:rFonts w:hint="eastAsia"/>
                <w:color w:val="auto"/>
              </w:rPr>
              <w:t>6~10#加弹机（</w:t>
            </w:r>
            <w:r>
              <w:rPr>
                <w:color w:val="auto"/>
              </w:rPr>
              <w:t>DA00</w:t>
            </w:r>
            <w:r>
              <w:rPr>
                <w:rFonts w:hint="eastAsia"/>
                <w:color w:val="auto"/>
              </w:rPr>
              <w:t>2）</w:t>
            </w:r>
          </w:p>
        </w:tc>
        <w:tc>
          <w:tcPr>
            <w:tcW w:w="689" w:type="pct"/>
            <w:shd w:val="clear" w:color="auto" w:fill="auto"/>
            <w:vAlign w:val="center"/>
          </w:tcPr>
          <w:p w14:paraId="3FDFE306">
            <w:pPr>
              <w:pStyle w:val="51"/>
              <w:rPr>
                <w:color w:val="auto"/>
              </w:rPr>
            </w:pPr>
            <w:r>
              <w:rPr>
                <w:rFonts w:hint="eastAsia"/>
                <w:color w:val="auto"/>
              </w:rPr>
              <w:t>非甲烷总烃</w:t>
            </w:r>
          </w:p>
        </w:tc>
        <w:tc>
          <w:tcPr>
            <w:tcW w:w="1169" w:type="pct"/>
            <w:shd w:val="clear" w:color="auto" w:fill="auto"/>
            <w:vAlign w:val="center"/>
          </w:tcPr>
          <w:p w14:paraId="588B58F5">
            <w:pPr>
              <w:pStyle w:val="51"/>
              <w:rPr>
                <w:color w:val="auto"/>
              </w:rPr>
            </w:pPr>
            <w:r>
              <w:rPr>
                <w:rFonts w:hint="eastAsia"/>
                <w:color w:val="auto"/>
              </w:rPr>
              <w:t>管道</w:t>
            </w:r>
            <w:r>
              <w:rPr>
                <w:color w:val="auto"/>
              </w:rPr>
              <w:t>+</w:t>
            </w:r>
            <w:r>
              <w:rPr>
                <w:rFonts w:hint="eastAsia"/>
                <w:color w:val="auto"/>
              </w:rPr>
              <w:t>2#高压静电油烟净化器</w:t>
            </w:r>
            <w:r>
              <w:rPr>
                <w:color w:val="auto"/>
              </w:rPr>
              <w:t>+15m排气筒（DA00</w:t>
            </w:r>
            <w:r>
              <w:rPr>
                <w:rFonts w:hint="eastAsia"/>
                <w:color w:val="auto"/>
              </w:rPr>
              <w:t>2</w:t>
            </w:r>
            <w:r>
              <w:rPr>
                <w:color w:val="auto"/>
              </w:rPr>
              <w:t>）</w:t>
            </w:r>
          </w:p>
        </w:tc>
        <w:tc>
          <w:tcPr>
            <w:tcW w:w="1523" w:type="pct"/>
            <w:vMerge w:val="continue"/>
            <w:shd w:val="clear" w:color="auto" w:fill="auto"/>
            <w:vAlign w:val="center"/>
          </w:tcPr>
          <w:p w14:paraId="1B4F8008">
            <w:pPr>
              <w:pStyle w:val="51"/>
              <w:rPr>
                <w:color w:val="auto"/>
              </w:rPr>
            </w:pPr>
          </w:p>
        </w:tc>
      </w:tr>
      <w:tr w14:paraId="2F41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3" w:type="pct"/>
            <w:vMerge w:val="continue"/>
            <w:shd w:val="clear" w:color="auto" w:fill="auto"/>
            <w:vAlign w:val="center"/>
          </w:tcPr>
          <w:p w14:paraId="4466B781">
            <w:pPr>
              <w:pStyle w:val="51"/>
              <w:rPr>
                <w:color w:val="auto"/>
              </w:rPr>
            </w:pPr>
          </w:p>
        </w:tc>
        <w:tc>
          <w:tcPr>
            <w:tcW w:w="321" w:type="pct"/>
            <w:vMerge w:val="continue"/>
            <w:shd w:val="clear" w:color="auto" w:fill="auto"/>
            <w:vAlign w:val="center"/>
          </w:tcPr>
          <w:p w14:paraId="5058E7CA">
            <w:pPr>
              <w:pStyle w:val="51"/>
              <w:rPr>
                <w:color w:val="auto"/>
              </w:rPr>
            </w:pPr>
          </w:p>
        </w:tc>
        <w:tc>
          <w:tcPr>
            <w:tcW w:w="773" w:type="pct"/>
            <w:shd w:val="clear" w:color="auto" w:fill="auto"/>
            <w:vAlign w:val="center"/>
          </w:tcPr>
          <w:p w14:paraId="44EFA583">
            <w:pPr>
              <w:pStyle w:val="51"/>
              <w:rPr>
                <w:color w:val="auto"/>
              </w:rPr>
            </w:pPr>
            <w:r>
              <w:rPr>
                <w:rFonts w:hint="eastAsia"/>
                <w:color w:val="auto"/>
              </w:rPr>
              <w:t>11~15#加弹机（</w:t>
            </w:r>
            <w:r>
              <w:rPr>
                <w:color w:val="auto"/>
              </w:rPr>
              <w:t>DA00</w:t>
            </w:r>
            <w:r>
              <w:rPr>
                <w:rFonts w:hint="eastAsia"/>
                <w:color w:val="auto"/>
              </w:rPr>
              <w:t>3）</w:t>
            </w:r>
          </w:p>
        </w:tc>
        <w:tc>
          <w:tcPr>
            <w:tcW w:w="689" w:type="pct"/>
            <w:shd w:val="clear" w:color="auto" w:fill="auto"/>
            <w:vAlign w:val="center"/>
          </w:tcPr>
          <w:p w14:paraId="7BEC78F1">
            <w:pPr>
              <w:pStyle w:val="51"/>
              <w:rPr>
                <w:color w:val="auto"/>
              </w:rPr>
            </w:pPr>
            <w:r>
              <w:rPr>
                <w:rFonts w:hint="eastAsia"/>
                <w:color w:val="auto"/>
              </w:rPr>
              <w:t>非甲烷总烃</w:t>
            </w:r>
          </w:p>
        </w:tc>
        <w:tc>
          <w:tcPr>
            <w:tcW w:w="1169" w:type="pct"/>
            <w:shd w:val="clear" w:color="auto" w:fill="auto"/>
            <w:vAlign w:val="center"/>
          </w:tcPr>
          <w:p w14:paraId="66B72837">
            <w:pPr>
              <w:pStyle w:val="51"/>
              <w:rPr>
                <w:color w:val="auto"/>
              </w:rPr>
            </w:pPr>
            <w:r>
              <w:rPr>
                <w:rFonts w:hint="eastAsia"/>
                <w:color w:val="auto"/>
              </w:rPr>
              <w:t>管道</w:t>
            </w:r>
            <w:r>
              <w:rPr>
                <w:color w:val="auto"/>
              </w:rPr>
              <w:t>+</w:t>
            </w:r>
            <w:r>
              <w:rPr>
                <w:rFonts w:hint="eastAsia"/>
                <w:color w:val="auto"/>
              </w:rPr>
              <w:t>3#高压静电油烟净化器</w:t>
            </w:r>
            <w:r>
              <w:rPr>
                <w:color w:val="auto"/>
              </w:rPr>
              <w:t>+15m排气筒（DA00</w:t>
            </w:r>
            <w:r>
              <w:rPr>
                <w:rFonts w:hint="eastAsia"/>
                <w:color w:val="auto"/>
              </w:rPr>
              <w:t>3</w:t>
            </w:r>
            <w:r>
              <w:rPr>
                <w:color w:val="auto"/>
              </w:rPr>
              <w:t>）</w:t>
            </w:r>
          </w:p>
        </w:tc>
        <w:tc>
          <w:tcPr>
            <w:tcW w:w="1523" w:type="pct"/>
            <w:vMerge w:val="continue"/>
            <w:shd w:val="clear" w:color="auto" w:fill="auto"/>
            <w:vAlign w:val="center"/>
          </w:tcPr>
          <w:p w14:paraId="5EAD40EF">
            <w:pPr>
              <w:pStyle w:val="51"/>
              <w:rPr>
                <w:color w:val="auto"/>
              </w:rPr>
            </w:pPr>
          </w:p>
        </w:tc>
      </w:tr>
      <w:tr w14:paraId="1EE8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3" w:type="pct"/>
            <w:vMerge w:val="continue"/>
            <w:shd w:val="clear" w:color="auto" w:fill="auto"/>
            <w:vAlign w:val="center"/>
          </w:tcPr>
          <w:p w14:paraId="1675525A">
            <w:pPr>
              <w:pStyle w:val="51"/>
              <w:rPr>
                <w:color w:val="auto"/>
              </w:rPr>
            </w:pPr>
          </w:p>
        </w:tc>
        <w:tc>
          <w:tcPr>
            <w:tcW w:w="321" w:type="pct"/>
            <w:vMerge w:val="continue"/>
            <w:shd w:val="clear" w:color="auto" w:fill="auto"/>
            <w:vAlign w:val="center"/>
          </w:tcPr>
          <w:p w14:paraId="7CB6582C">
            <w:pPr>
              <w:pStyle w:val="51"/>
              <w:rPr>
                <w:color w:val="auto"/>
              </w:rPr>
            </w:pPr>
          </w:p>
        </w:tc>
        <w:tc>
          <w:tcPr>
            <w:tcW w:w="773" w:type="pct"/>
            <w:shd w:val="clear" w:color="auto" w:fill="auto"/>
            <w:vAlign w:val="center"/>
          </w:tcPr>
          <w:p w14:paraId="4B33EE75">
            <w:pPr>
              <w:pStyle w:val="51"/>
              <w:rPr>
                <w:color w:val="auto"/>
              </w:rPr>
            </w:pPr>
            <w:r>
              <w:rPr>
                <w:rFonts w:hint="eastAsia"/>
                <w:color w:val="auto"/>
              </w:rPr>
              <w:t>16~20#加弹机（</w:t>
            </w:r>
            <w:r>
              <w:rPr>
                <w:color w:val="auto"/>
              </w:rPr>
              <w:t>DA00</w:t>
            </w:r>
            <w:r>
              <w:rPr>
                <w:rFonts w:hint="eastAsia"/>
                <w:color w:val="auto"/>
              </w:rPr>
              <w:t>4）</w:t>
            </w:r>
          </w:p>
        </w:tc>
        <w:tc>
          <w:tcPr>
            <w:tcW w:w="689" w:type="pct"/>
            <w:shd w:val="clear" w:color="auto" w:fill="auto"/>
            <w:vAlign w:val="center"/>
          </w:tcPr>
          <w:p w14:paraId="367BA50A">
            <w:pPr>
              <w:pStyle w:val="51"/>
              <w:rPr>
                <w:color w:val="auto"/>
              </w:rPr>
            </w:pPr>
            <w:r>
              <w:rPr>
                <w:rFonts w:hint="eastAsia"/>
                <w:color w:val="auto"/>
              </w:rPr>
              <w:t>非甲烷总烃</w:t>
            </w:r>
          </w:p>
        </w:tc>
        <w:tc>
          <w:tcPr>
            <w:tcW w:w="1169" w:type="pct"/>
            <w:shd w:val="clear" w:color="auto" w:fill="auto"/>
            <w:vAlign w:val="center"/>
          </w:tcPr>
          <w:p w14:paraId="4D4B4EFA">
            <w:pPr>
              <w:pStyle w:val="51"/>
              <w:rPr>
                <w:color w:val="auto"/>
              </w:rPr>
            </w:pPr>
            <w:r>
              <w:rPr>
                <w:rFonts w:hint="eastAsia"/>
                <w:color w:val="auto"/>
              </w:rPr>
              <w:t>管道</w:t>
            </w:r>
            <w:r>
              <w:rPr>
                <w:color w:val="auto"/>
              </w:rPr>
              <w:t>+</w:t>
            </w:r>
            <w:r>
              <w:rPr>
                <w:rFonts w:hint="eastAsia"/>
                <w:color w:val="auto"/>
              </w:rPr>
              <w:t>4#高压静电油烟净化器</w:t>
            </w:r>
            <w:r>
              <w:rPr>
                <w:color w:val="auto"/>
              </w:rPr>
              <w:t>+15m排气筒（DA00</w:t>
            </w:r>
            <w:r>
              <w:rPr>
                <w:rFonts w:hint="eastAsia"/>
                <w:color w:val="auto"/>
              </w:rPr>
              <w:t>4</w:t>
            </w:r>
            <w:r>
              <w:rPr>
                <w:color w:val="auto"/>
              </w:rPr>
              <w:t>）</w:t>
            </w:r>
          </w:p>
        </w:tc>
        <w:tc>
          <w:tcPr>
            <w:tcW w:w="1523" w:type="pct"/>
            <w:vMerge w:val="continue"/>
            <w:shd w:val="clear" w:color="auto" w:fill="auto"/>
            <w:vAlign w:val="center"/>
          </w:tcPr>
          <w:p w14:paraId="1E79C068">
            <w:pPr>
              <w:pStyle w:val="51"/>
              <w:rPr>
                <w:color w:val="auto"/>
              </w:rPr>
            </w:pPr>
          </w:p>
        </w:tc>
      </w:tr>
      <w:tr w14:paraId="4293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3" w:type="pct"/>
            <w:vMerge w:val="continue"/>
            <w:shd w:val="clear" w:color="auto" w:fill="auto"/>
            <w:vAlign w:val="center"/>
          </w:tcPr>
          <w:p w14:paraId="4A70964A">
            <w:pPr>
              <w:pStyle w:val="51"/>
              <w:rPr>
                <w:color w:val="auto"/>
              </w:rPr>
            </w:pPr>
          </w:p>
        </w:tc>
        <w:tc>
          <w:tcPr>
            <w:tcW w:w="321" w:type="pct"/>
            <w:vMerge w:val="continue"/>
            <w:shd w:val="clear" w:color="auto" w:fill="auto"/>
            <w:vAlign w:val="center"/>
          </w:tcPr>
          <w:p w14:paraId="07EAE86F">
            <w:pPr>
              <w:pStyle w:val="51"/>
              <w:rPr>
                <w:color w:val="auto"/>
              </w:rPr>
            </w:pPr>
          </w:p>
        </w:tc>
        <w:tc>
          <w:tcPr>
            <w:tcW w:w="773" w:type="pct"/>
            <w:shd w:val="clear" w:color="auto" w:fill="auto"/>
            <w:vAlign w:val="center"/>
          </w:tcPr>
          <w:p w14:paraId="25E6AB7A">
            <w:pPr>
              <w:pStyle w:val="51"/>
              <w:rPr>
                <w:color w:val="auto"/>
              </w:rPr>
            </w:pPr>
            <w:r>
              <w:rPr>
                <w:rFonts w:hint="eastAsia"/>
                <w:color w:val="auto"/>
              </w:rPr>
              <w:t>危废仓库</w:t>
            </w:r>
          </w:p>
          <w:p w14:paraId="7EE3BBE0">
            <w:pPr>
              <w:pStyle w:val="51"/>
              <w:rPr>
                <w:color w:val="auto"/>
              </w:rPr>
            </w:pPr>
            <w:r>
              <w:rPr>
                <w:rFonts w:hint="eastAsia"/>
                <w:color w:val="auto"/>
              </w:rPr>
              <w:t>（</w:t>
            </w:r>
            <w:r>
              <w:rPr>
                <w:color w:val="auto"/>
              </w:rPr>
              <w:t>DA001</w:t>
            </w:r>
            <w:r>
              <w:rPr>
                <w:rFonts w:hint="eastAsia"/>
                <w:color w:val="auto"/>
              </w:rPr>
              <w:t>）</w:t>
            </w:r>
          </w:p>
        </w:tc>
        <w:tc>
          <w:tcPr>
            <w:tcW w:w="689" w:type="pct"/>
            <w:shd w:val="clear" w:color="auto" w:fill="auto"/>
            <w:vAlign w:val="center"/>
          </w:tcPr>
          <w:p w14:paraId="4DD5045B">
            <w:pPr>
              <w:pStyle w:val="51"/>
              <w:rPr>
                <w:color w:val="auto"/>
              </w:rPr>
            </w:pPr>
            <w:r>
              <w:rPr>
                <w:rFonts w:hint="eastAsia"/>
                <w:color w:val="auto"/>
              </w:rPr>
              <w:t>非甲烷总烃</w:t>
            </w:r>
          </w:p>
        </w:tc>
        <w:tc>
          <w:tcPr>
            <w:tcW w:w="1169" w:type="pct"/>
            <w:shd w:val="clear" w:color="auto" w:fill="auto"/>
            <w:vAlign w:val="center"/>
          </w:tcPr>
          <w:p w14:paraId="3C44E54A">
            <w:pPr>
              <w:pStyle w:val="51"/>
              <w:rPr>
                <w:color w:val="auto"/>
              </w:rPr>
            </w:pPr>
            <w:r>
              <w:rPr>
                <w:rFonts w:hint="eastAsia"/>
                <w:color w:val="auto"/>
              </w:rPr>
              <w:t>管道</w:t>
            </w:r>
            <w:r>
              <w:rPr>
                <w:color w:val="auto"/>
              </w:rPr>
              <w:t>+</w:t>
            </w:r>
            <w:r>
              <w:rPr>
                <w:rFonts w:hint="eastAsia"/>
                <w:color w:val="auto"/>
              </w:rPr>
              <w:t>1#高压静电油烟净化器</w:t>
            </w:r>
            <w:r>
              <w:rPr>
                <w:color w:val="auto"/>
              </w:rPr>
              <w:t>+15m排气筒（DA00</w:t>
            </w:r>
            <w:r>
              <w:rPr>
                <w:rFonts w:hint="eastAsia"/>
                <w:color w:val="auto"/>
              </w:rPr>
              <w:t>1</w:t>
            </w:r>
            <w:r>
              <w:rPr>
                <w:color w:val="auto"/>
              </w:rPr>
              <w:t>）</w:t>
            </w:r>
          </w:p>
        </w:tc>
        <w:tc>
          <w:tcPr>
            <w:tcW w:w="1523" w:type="pct"/>
            <w:vMerge w:val="continue"/>
            <w:shd w:val="clear" w:color="auto" w:fill="auto"/>
            <w:vAlign w:val="center"/>
          </w:tcPr>
          <w:p w14:paraId="7E9DFAD5">
            <w:pPr>
              <w:pStyle w:val="51"/>
              <w:rPr>
                <w:color w:val="auto"/>
              </w:rPr>
            </w:pPr>
          </w:p>
        </w:tc>
      </w:tr>
      <w:tr w14:paraId="15D3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23" w:type="pct"/>
            <w:vMerge w:val="continue"/>
            <w:shd w:val="clear" w:color="auto" w:fill="auto"/>
            <w:vAlign w:val="center"/>
          </w:tcPr>
          <w:p w14:paraId="5E3344D1">
            <w:pPr>
              <w:rPr>
                <w:color w:val="auto"/>
              </w:rPr>
            </w:pPr>
          </w:p>
        </w:tc>
        <w:tc>
          <w:tcPr>
            <w:tcW w:w="321" w:type="pct"/>
            <w:vMerge w:val="restart"/>
            <w:shd w:val="clear" w:color="auto" w:fill="auto"/>
            <w:vAlign w:val="center"/>
          </w:tcPr>
          <w:p w14:paraId="3EDC0463">
            <w:pPr>
              <w:pStyle w:val="51"/>
              <w:rPr>
                <w:color w:val="auto"/>
              </w:rPr>
            </w:pPr>
            <w:r>
              <w:rPr>
                <w:color w:val="auto"/>
              </w:rPr>
              <w:t>无组织</w:t>
            </w:r>
          </w:p>
        </w:tc>
        <w:tc>
          <w:tcPr>
            <w:tcW w:w="773" w:type="pct"/>
            <w:shd w:val="clear" w:color="auto" w:fill="auto"/>
            <w:vAlign w:val="center"/>
          </w:tcPr>
          <w:p w14:paraId="12295E15">
            <w:pPr>
              <w:pStyle w:val="51"/>
              <w:rPr>
                <w:color w:val="auto"/>
              </w:rPr>
            </w:pPr>
            <w:r>
              <w:rPr>
                <w:color w:val="auto"/>
              </w:rPr>
              <w:t>厂界</w:t>
            </w:r>
          </w:p>
        </w:tc>
        <w:tc>
          <w:tcPr>
            <w:tcW w:w="689" w:type="pct"/>
            <w:shd w:val="clear" w:color="auto" w:fill="auto"/>
            <w:vAlign w:val="center"/>
          </w:tcPr>
          <w:p w14:paraId="6AFE567C">
            <w:pPr>
              <w:pStyle w:val="51"/>
              <w:rPr>
                <w:color w:val="auto"/>
              </w:rPr>
            </w:pPr>
            <w:r>
              <w:rPr>
                <w:rFonts w:hint="eastAsia"/>
                <w:color w:val="auto"/>
              </w:rPr>
              <w:t>非甲烷总烃</w:t>
            </w:r>
          </w:p>
        </w:tc>
        <w:tc>
          <w:tcPr>
            <w:tcW w:w="1169" w:type="pct"/>
            <w:vMerge w:val="restart"/>
            <w:shd w:val="clear" w:color="auto" w:fill="auto"/>
            <w:vAlign w:val="center"/>
          </w:tcPr>
          <w:p w14:paraId="382AFA04">
            <w:pPr>
              <w:pStyle w:val="51"/>
              <w:rPr>
                <w:color w:val="auto"/>
              </w:rPr>
            </w:pPr>
            <w:r>
              <w:rPr>
                <w:color w:val="auto"/>
              </w:rPr>
              <w:t>加强管理，提高废气收集效率</w:t>
            </w:r>
          </w:p>
        </w:tc>
        <w:tc>
          <w:tcPr>
            <w:tcW w:w="1523" w:type="pct"/>
            <w:shd w:val="clear" w:color="auto" w:fill="auto"/>
            <w:vAlign w:val="center"/>
          </w:tcPr>
          <w:p w14:paraId="6AF635B2">
            <w:pPr>
              <w:pStyle w:val="51"/>
              <w:rPr>
                <w:color w:val="auto"/>
              </w:rPr>
            </w:pPr>
            <w:r>
              <w:rPr>
                <w:color w:val="auto"/>
              </w:rPr>
              <w:t>《大气污染物综合排放标准》（DB 32/4041-2021）表3</w:t>
            </w:r>
          </w:p>
        </w:tc>
      </w:tr>
      <w:tr w14:paraId="6C4B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3" w:type="pct"/>
            <w:vMerge w:val="continue"/>
            <w:shd w:val="clear" w:color="auto" w:fill="auto"/>
            <w:vAlign w:val="center"/>
          </w:tcPr>
          <w:p w14:paraId="03F57FE7">
            <w:pPr>
              <w:rPr>
                <w:color w:val="auto"/>
              </w:rPr>
            </w:pPr>
          </w:p>
        </w:tc>
        <w:tc>
          <w:tcPr>
            <w:tcW w:w="321" w:type="pct"/>
            <w:vMerge w:val="continue"/>
            <w:shd w:val="clear" w:color="auto" w:fill="auto"/>
            <w:vAlign w:val="center"/>
          </w:tcPr>
          <w:p w14:paraId="37BE3984">
            <w:pPr>
              <w:rPr>
                <w:color w:val="auto"/>
              </w:rPr>
            </w:pPr>
          </w:p>
        </w:tc>
        <w:tc>
          <w:tcPr>
            <w:tcW w:w="773" w:type="pct"/>
            <w:shd w:val="clear" w:color="auto" w:fill="auto"/>
            <w:vAlign w:val="center"/>
          </w:tcPr>
          <w:p w14:paraId="569E41AD">
            <w:pPr>
              <w:pStyle w:val="51"/>
              <w:rPr>
                <w:color w:val="auto"/>
              </w:rPr>
            </w:pPr>
            <w:r>
              <w:rPr>
                <w:color w:val="auto"/>
              </w:rPr>
              <w:t>厂区内</w:t>
            </w:r>
          </w:p>
        </w:tc>
        <w:tc>
          <w:tcPr>
            <w:tcW w:w="689" w:type="pct"/>
            <w:shd w:val="clear" w:color="auto" w:fill="auto"/>
            <w:vAlign w:val="center"/>
          </w:tcPr>
          <w:p w14:paraId="0F311A15">
            <w:pPr>
              <w:pStyle w:val="51"/>
              <w:rPr>
                <w:color w:val="auto"/>
              </w:rPr>
            </w:pPr>
            <w:r>
              <w:rPr>
                <w:rFonts w:hint="eastAsia"/>
                <w:color w:val="auto"/>
              </w:rPr>
              <w:t>非甲烷总烃</w:t>
            </w:r>
          </w:p>
        </w:tc>
        <w:tc>
          <w:tcPr>
            <w:tcW w:w="1169" w:type="pct"/>
            <w:vMerge w:val="continue"/>
            <w:shd w:val="clear" w:color="auto" w:fill="auto"/>
            <w:vAlign w:val="center"/>
          </w:tcPr>
          <w:p w14:paraId="52FF7544">
            <w:pPr>
              <w:rPr>
                <w:color w:val="auto"/>
              </w:rPr>
            </w:pPr>
          </w:p>
        </w:tc>
        <w:tc>
          <w:tcPr>
            <w:tcW w:w="1523" w:type="pct"/>
            <w:shd w:val="clear" w:color="auto" w:fill="auto"/>
            <w:vAlign w:val="center"/>
          </w:tcPr>
          <w:p w14:paraId="6A26C51D">
            <w:pPr>
              <w:pStyle w:val="51"/>
              <w:rPr>
                <w:color w:val="auto"/>
              </w:rPr>
            </w:pPr>
            <w:r>
              <w:rPr>
                <w:color w:val="auto"/>
              </w:rPr>
              <w:t>《大气污染物综合排放标准》（DB 32/4041-2021）表</w:t>
            </w:r>
            <w:r>
              <w:rPr>
                <w:rFonts w:hint="eastAsia"/>
                <w:color w:val="auto"/>
              </w:rPr>
              <w:t>2</w:t>
            </w:r>
          </w:p>
        </w:tc>
      </w:tr>
      <w:tr w14:paraId="54D1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23" w:type="pct"/>
            <w:vMerge w:val="restart"/>
            <w:shd w:val="clear" w:color="auto" w:fill="auto"/>
            <w:vAlign w:val="center"/>
          </w:tcPr>
          <w:p w14:paraId="03657514">
            <w:pPr>
              <w:pStyle w:val="51"/>
              <w:rPr>
                <w:color w:val="auto"/>
              </w:rPr>
            </w:pPr>
            <w:r>
              <w:rPr>
                <w:color w:val="auto"/>
              </w:rPr>
              <w:t>地表水环境</w:t>
            </w:r>
          </w:p>
        </w:tc>
        <w:tc>
          <w:tcPr>
            <w:tcW w:w="1094" w:type="pct"/>
            <w:gridSpan w:val="2"/>
            <w:shd w:val="clear" w:color="auto" w:fill="auto"/>
            <w:vAlign w:val="center"/>
          </w:tcPr>
          <w:p w14:paraId="224798E3">
            <w:pPr>
              <w:pStyle w:val="51"/>
              <w:rPr>
                <w:color w:val="auto"/>
              </w:rPr>
            </w:pPr>
            <w:r>
              <w:rPr>
                <w:color w:val="auto"/>
              </w:rPr>
              <w:t>职工生活污水</w:t>
            </w:r>
          </w:p>
        </w:tc>
        <w:tc>
          <w:tcPr>
            <w:tcW w:w="689" w:type="pct"/>
            <w:shd w:val="clear" w:color="auto" w:fill="auto"/>
            <w:vAlign w:val="center"/>
          </w:tcPr>
          <w:p w14:paraId="689EC976">
            <w:pPr>
              <w:pStyle w:val="51"/>
              <w:rPr>
                <w:color w:val="auto"/>
              </w:rPr>
            </w:pPr>
            <w:r>
              <w:rPr>
                <w:color w:val="auto"/>
              </w:rPr>
              <w:t>pH、COD、SS、氨氮、TN</w:t>
            </w:r>
            <w:r>
              <w:rPr>
                <w:rFonts w:hint="eastAsia"/>
                <w:color w:val="auto"/>
              </w:rPr>
              <w:t>、</w:t>
            </w:r>
            <w:r>
              <w:rPr>
                <w:color w:val="auto"/>
              </w:rPr>
              <w:t>TP</w:t>
            </w:r>
          </w:p>
        </w:tc>
        <w:tc>
          <w:tcPr>
            <w:tcW w:w="1169" w:type="pct"/>
            <w:shd w:val="clear" w:color="auto" w:fill="auto"/>
            <w:vAlign w:val="center"/>
          </w:tcPr>
          <w:p w14:paraId="25366E33">
            <w:pPr>
              <w:pStyle w:val="51"/>
              <w:rPr>
                <w:color w:val="auto"/>
              </w:rPr>
            </w:pPr>
            <w:r>
              <w:rPr>
                <w:color w:val="auto"/>
              </w:rPr>
              <w:t>化粪池</w:t>
            </w:r>
          </w:p>
        </w:tc>
        <w:tc>
          <w:tcPr>
            <w:tcW w:w="1523" w:type="pct"/>
            <w:shd w:val="clear" w:color="auto" w:fill="auto"/>
            <w:vAlign w:val="center"/>
          </w:tcPr>
          <w:p w14:paraId="1311CDC5">
            <w:pPr>
              <w:pStyle w:val="51"/>
              <w:rPr>
                <w:color w:val="auto"/>
              </w:rPr>
            </w:pPr>
            <w:r>
              <w:rPr>
                <w:rFonts w:hint="eastAsia"/>
                <w:color w:val="auto"/>
              </w:rPr>
              <w:t>新袁镇</w:t>
            </w:r>
            <w:r>
              <w:rPr>
                <w:color w:val="auto"/>
              </w:rPr>
              <w:t>污水处理厂接管标准</w:t>
            </w:r>
          </w:p>
        </w:tc>
      </w:tr>
      <w:tr w14:paraId="78A2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3" w:type="pct"/>
            <w:vMerge w:val="continue"/>
            <w:shd w:val="clear" w:color="auto" w:fill="auto"/>
            <w:vAlign w:val="center"/>
          </w:tcPr>
          <w:p w14:paraId="4E4D554D">
            <w:pPr>
              <w:pStyle w:val="51"/>
              <w:rPr>
                <w:color w:val="auto"/>
              </w:rPr>
            </w:pPr>
          </w:p>
        </w:tc>
        <w:tc>
          <w:tcPr>
            <w:tcW w:w="1094" w:type="pct"/>
            <w:gridSpan w:val="2"/>
            <w:shd w:val="clear" w:color="auto" w:fill="auto"/>
            <w:vAlign w:val="center"/>
          </w:tcPr>
          <w:p w14:paraId="4146B48F">
            <w:pPr>
              <w:pStyle w:val="51"/>
              <w:rPr>
                <w:color w:val="auto"/>
              </w:rPr>
            </w:pPr>
            <w:r>
              <w:rPr>
                <w:rFonts w:hint="eastAsia"/>
                <w:color w:val="auto"/>
              </w:rPr>
              <w:t>喷水织造废水</w:t>
            </w:r>
          </w:p>
        </w:tc>
        <w:tc>
          <w:tcPr>
            <w:tcW w:w="689" w:type="pct"/>
            <w:shd w:val="clear" w:color="auto" w:fill="auto"/>
            <w:vAlign w:val="center"/>
          </w:tcPr>
          <w:p w14:paraId="1C00D8A8">
            <w:pPr>
              <w:pStyle w:val="51"/>
              <w:rPr>
                <w:color w:val="auto"/>
              </w:rPr>
            </w:pPr>
            <w:r>
              <w:rPr>
                <w:color w:val="auto"/>
              </w:rPr>
              <w:t>pH、</w:t>
            </w:r>
            <w:r>
              <w:rPr>
                <w:rFonts w:hint="eastAsia"/>
                <w:color w:val="auto"/>
              </w:rPr>
              <w:t>COD、SS、氨氮、TN、TP、石油类、总锑</w:t>
            </w:r>
          </w:p>
        </w:tc>
        <w:tc>
          <w:tcPr>
            <w:tcW w:w="1169" w:type="pct"/>
            <w:shd w:val="clear" w:color="auto" w:fill="auto"/>
            <w:vAlign w:val="center"/>
          </w:tcPr>
          <w:p w14:paraId="23A31B15">
            <w:pPr>
              <w:pStyle w:val="51"/>
              <w:rPr>
                <w:color w:val="auto"/>
              </w:rPr>
            </w:pPr>
            <w:r>
              <w:rPr>
                <w:rFonts w:hint="eastAsia"/>
                <w:color w:val="auto"/>
              </w:rPr>
              <w:t>经厂区污水处理站（</w:t>
            </w:r>
            <w:r>
              <w:rPr>
                <w:color w:val="auto"/>
              </w:rPr>
              <w:t>格栅+调节+混凝气浮</w:t>
            </w:r>
            <w:r>
              <w:rPr>
                <w:rFonts w:hint="eastAsia"/>
                <w:color w:val="auto"/>
                <w:lang w:val="en-US" w:eastAsia="zh-CN"/>
              </w:rPr>
              <w:t>+生化</w:t>
            </w:r>
            <w:r>
              <w:rPr>
                <w:color w:val="auto"/>
              </w:rPr>
              <w:t>+二沉+砂滤+碳滤</w:t>
            </w:r>
            <w:r>
              <w:rPr>
                <w:rFonts w:hint="eastAsia"/>
                <w:color w:val="auto"/>
              </w:rPr>
              <w:t>）处理达标后全部回用于喷水织造、不外排</w:t>
            </w:r>
          </w:p>
        </w:tc>
        <w:tc>
          <w:tcPr>
            <w:tcW w:w="1523" w:type="pct"/>
            <w:shd w:val="clear" w:color="auto" w:fill="auto"/>
            <w:vAlign w:val="center"/>
          </w:tcPr>
          <w:p w14:paraId="421099E9">
            <w:pPr>
              <w:pStyle w:val="51"/>
              <w:rPr>
                <w:rFonts w:hint="default" w:eastAsia="宋体"/>
                <w:color w:val="auto"/>
                <w:lang w:val="en-US" w:eastAsia="zh-CN"/>
              </w:rPr>
            </w:pPr>
            <w:r>
              <w:rPr>
                <w:rFonts w:hint="eastAsia"/>
                <w:color w:val="auto"/>
                <w:lang w:eastAsia="zh-CN"/>
              </w:rPr>
              <w:t>《</w:t>
            </w:r>
            <w:r>
              <w:rPr>
                <w:rFonts w:hint="eastAsia"/>
                <w:color w:val="auto"/>
                <w:lang w:val="en-US" w:eastAsia="zh-CN"/>
              </w:rPr>
              <w:t>城市污水再生利用 工业用水水质</w:t>
            </w:r>
            <w:r>
              <w:rPr>
                <w:rFonts w:hint="eastAsia"/>
                <w:color w:val="auto"/>
                <w:lang w:eastAsia="zh-CN"/>
              </w:rPr>
              <w:t>》（</w:t>
            </w:r>
            <w:r>
              <w:rPr>
                <w:rFonts w:hint="eastAsia"/>
                <w:color w:val="auto"/>
                <w:lang w:val="en-US" w:eastAsia="zh-CN"/>
              </w:rPr>
              <w:t>GB/T 19923-2024）表1、</w:t>
            </w:r>
            <w:r>
              <w:rPr>
                <w:rFonts w:hint="eastAsia"/>
                <w:color w:val="auto"/>
              </w:rPr>
              <w:t>《纺织染整工业废水中锑污染物排放标准》（DB32/3432-2018）表2</w:t>
            </w:r>
          </w:p>
        </w:tc>
      </w:tr>
      <w:tr w14:paraId="1298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23" w:type="pct"/>
            <w:shd w:val="clear" w:color="auto" w:fill="auto"/>
            <w:vAlign w:val="center"/>
          </w:tcPr>
          <w:p w14:paraId="4EA70430">
            <w:pPr>
              <w:pStyle w:val="51"/>
              <w:rPr>
                <w:color w:val="auto"/>
              </w:rPr>
            </w:pPr>
            <w:r>
              <w:rPr>
                <w:color w:val="auto"/>
              </w:rPr>
              <w:t>声环境</w:t>
            </w:r>
          </w:p>
        </w:tc>
        <w:tc>
          <w:tcPr>
            <w:tcW w:w="1094" w:type="pct"/>
            <w:gridSpan w:val="2"/>
            <w:shd w:val="clear" w:color="auto" w:fill="auto"/>
            <w:vAlign w:val="center"/>
          </w:tcPr>
          <w:p w14:paraId="4302644D">
            <w:pPr>
              <w:pStyle w:val="51"/>
              <w:rPr>
                <w:color w:val="auto"/>
              </w:rPr>
            </w:pPr>
            <w:r>
              <w:rPr>
                <w:color w:val="auto"/>
              </w:rPr>
              <w:t>生产车间</w:t>
            </w:r>
          </w:p>
        </w:tc>
        <w:tc>
          <w:tcPr>
            <w:tcW w:w="689" w:type="pct"/>
            <w:shd w:val="clear" w:color="auto" w:fill="auto"/>
            <w:vAlign w:val="center"/>
          </w:tcPr>
          <w:p w14:paraId="6BA5AFBC">
            <w:pPr>
              <w:pStyle w:val="51"/>
              <w:rPr>
                <w:color w:val="auto"/>
              </w:rPr>
            </w:pPr>
            <w:r>
              <w:rPr>
                <w:color w:val="auto"/>
              </w:rPr>
              <w:t>设备噪声</w:t>
            </w:r>
          </w:p>
        </w:tc>
        <w:tc>
          <w:tcPr>
            <w:tcW w:w="1169" w:type="pct"/>
            <w:shd w:val="clear" w:color="auto" w:fill="auto"/>
            <w:vAlign w:val="center"/>
          </w:tcPr>
          <w:p w14:paraId="2E478A48">
            <w:pPr>
              <w:pStyle w:val="51"/>
              <w:rPr>
                <w:color w:val="auto"/>
              </w:rPr>
            </w:pPr>
            <w:r>
              <w:rPr>
                <w:color w:val="auto"/>
              </w:rPr>
              <w:t>合理布局、定期维护等措施</w:t>
            </w:r>
          </w:p>
        </w:tc>
        <w:tc>
          <w:tcPr>
            <w:tcW w:w="1523" w:type="pct"/>
            <w:shd w:val="clear" w:color="auto" w:fill="auto"/>
            <w:vAlign w:val="center"/>
          </w:tcPr>
          <w:p w14:paraId="263E2E6E">
            <w:pPr>
              <w:pStyle w:val="51"/>
              <w:rPr>
                <w:color w:val="auto"/>
              </w:rPr>
            </w:pPr>
            <w:r>
              <w:rPr>
                <w:color w:val="auto"/>
              </w:rPr>
              <w:t>《工业企业厂界环境噪声排放标准》（GB12348-2008）中3类标准</w:t>
            </w:r>
          </w:p>
        </w:tc>
      </w:tr>
      <w:tr w14:paraId="05D6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23" w:type="pct"/>
            <w:shd w:val="clear" w:color="auto" w:fill="auto"/>
            <w:vAlign w:val="center"/>
          </w:tcPr>
          <w:p w14:paraId="43492346">
            <w:pPr>
              <w:pStyle w:val="51"/>
              <w:rPr>
                <w:color w:val="auto"/>
              </w:rPr>
            </w:pPr>
            <w:r>
              <w:rPr>
                <w:color w:val="auto"/>
              </w:rPr>
              <w:t>电磁辐射</w:t>
            </w:r>
          </w:p>
        </w:tc>
        <w:tc>
          <w:tcPr>
            <w:tcW w:w="1094" w:type="pct"/>
            <w:gridSpan w:val="2"/>
            <w:shd w:val="clear" w:color="auto" w:fill="auto"/>
            <w:vAlign w:val="center"/>
          </w:tcPr>
          <w:p w14:paraId="28EC3B17">
            <w:pPr>
              <w:pStyle w:val="51"/>
              <w:rPr>
                <w:color w:val="auto"/>
              </w:rPr>
            </w:pPr>
            <w:r>
              <w:rPr>
                <w:color w:val="auto"/>
              </w:rPr>
              <w:t>/</w:t>
            </w:r>
          </w:p>
        </w:tc>
        <w:tc>
          <w:tcPr>
            <w:tcW w:w="689" w:type="pct"/>
            <w:shd w:val="clear" w:color="auto" w:fill="auto"/>
            <w:vAlign w:val="center"/>
          </w:tcPr>
          <w:p w14:paraId="1CC750A3">
            <w:pPr>
              <w:pStyle w:val="51"/>
              <w:rPr>
                <w:color w:val="auto"/>
              </w:rPr>
            </w:pPr>
            <w:r>
              <w:rPr>
                <w:color w:val="auto"/>
              </w:rPr>
              <w:t>/</w:t>
            </w:r>
          </w:p>
        </w:tc>
        <w:tc>
          <w:tcPr>
            <w:tcW w:w="1169" w:type="pct"/>
            <w:shd w:val="clear" w:color="auto" w:fill="auto"/>
            <w:vAlign w:val="center"/>
          </w:tcPr>
          <w:p w14:paraId="27CB197A">
            <w:pPr>
              <w:pStyle w:val="51"/>
              <w:rPr>
                <w:color w:val="auto"/>
              </w:rPr>
            </w:pPr>
            <w:r>
              <w:rPr>
                <w:color w:val="auto"/>
              </w:rPr>
              <w:t>/</w:t>
            </w:r>
          </w:p>
        </w:tc>
        <w:tc>
          <w:tcPr>
            <w:tcW w:w="1523" w:type="pct"/>
            <w:shd w:val="clear" w:color="auto" w:fill="auto"/>
            <w:vAlign w:val="center"/>
          </w:tcPr>
          <w:p w14:paraId="685D3842">
            <w:pPr>
              <w:pStyle w:val="51"/>
              <w:rPr>
                <w:color w:val="auto"/>
              </w:rPr>
            </w:pPr>
            <w:r>
              <w:rPr>
                <w:color w:val="auto"/>
              </w:rPr>
              <w:t>/</w:t>
            </w:r>
          </w:p>
        </w:tc>
      </w:tr>
      <w:tr w14:paraId="39C6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3" w:type="pct"/>
            <w:vMerge w:val="restart"/>
            <w:shd w:val="clear" w:color="auto" w:fill="auto"/>
            <w:vAlign w:val="center"/>
          </w:tcPr>
          <w:p w14:paraId="3C63A10C">
            <w:pPr>
              <w:pStyle w:val="51"/>
              <w:rPr>
                <w:color w:val="auto"/>
              </w:rPr>
            </w:pPr>
            <w:r>
              <w:rPr>
                <w:color w:val="auto"/>
              </w:rPr>
              <w:t>固体废物</w:t>
            </w:r>
          </w:p>
        </w:tc>
        <w:tc>
          <w:tcPr>
            <w:tcW w:w="1094" w:type="pct"/>
            <w:gridSpan w:val="2"/>
            <w:shd w:val="clear" w:color="auto" w:fill="auto"/>
            <w:vAlign w:val="center"/>
          </w:tcPr>
          <w:p w14:paraId="1CAF484C">
            <w:pPr>
              <w:pStyle w:val="51"/>
              <w:rPr>
                <w:color w:val="auto"/>
              </w:rPr>
            </w:pPr>
            <w:r>
              <w:rPr>
                <w:rFonts w:hint="eastAsia"/>
                <w:color w:val="auto"/>
              </w:rPr>
              <w:t>废丝</w:t>
            </w:r>
          </w:p>
        </w:tc>
        <w:tc>
          <w:tcPr>
            <w:tcW w:w="689" w:type="pct"/>
            <w:vMerge w:val="restart"/>
            <w:shd w:val="clear" w:color="auto" w:fill="auto"/>
            <w:vAlign w:val="center"/>
          </w:tcPr>
          <w:p w14:paraId="5ACCA866">
            <w:pPr>
              <w:pStyle w:val="51"/>
              <w:rPr>
                <w:color w:val="auto"/>
              </w:rPr>
            </w:pPr>
            <w:r>
              <w:rPr>
                <w:color w:val="auto"/>
              </w:rPr>
              <w:t>一般固废</w:t>
            </w:r>
          </w:p>
        </w:tc>
        <w:tc>
          <w:tcPr>
            <w:tcW w:w="1169" w:type="pct"/>
            <w:vMerge w:val="restart"/>
            <w:shd w:val="clear" w:color="auto" w:fill="auto"/>
            <w:vAlign w:val="center"/>
          </w:tcPr>
          <w:p w14:paraId="4E2476F0">
            <w:pPr>
              <w:pStyle w:val="51"/>
              <w:rPr>
                <w:color w:val="auto"/>
              </w:rPr>
            </w:pPr>
            <w:r>
              <w:rPr>
                <w:color w:val="auto"/>
              </w:rPr>
              <w:t>收集后暂存一般固废库，外售综合利用</w:t>
            </w:r>
          </w:p>
        </w:tc>
        <w:tc>
          <w:tcPr>
            <w:tcW w:w="1523" w:type="pct"/>
            <w:vMerge w:val="restart"/>
            <w:shd w:val="clear" w:color="auto" w:fill="auto"/>
            <w:vAlign w:val="center"/>
          </w:tcPr>
          <w:p w14:paraId="322A3D5A">
            <w:pPr>
              <w:pStyle w:val="51"/>
              <w:rPr>
                <w:color w:val="auto"/>
              </w:rPr>
            </w:pPr>
            <w:r>
              <w:rPr>
                <w:color w:val="auto"/>
              </w:rPr>
              <w:t>《一般工业固体废物贮存和填埋污染控制标准》（GB18599-2020）的相关要求</w:t>
            </w:r>
          </w:p>
        </w:tc>
      </w:tr>
      <w:tr w14:paraId="7D23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3" w:type="pct"/>
            <w:vMerge w:val="continue"/>
            <w:shd w:val="clear" w:color="auto" w:fill="auto"/>
            <w:vAlign w:val="center"/>
          </w:tcPr>
          <w:p w14:paraId="3E015C84">
            <w:pPr>
              <w:pStyle w:val="51"/>
              <w:rPr>
                <w:color w:val="auto"/>
              </w:rPr>
            </w:pPr>
          </w:p>
        </w:tc>
        <w:tc>
          <w:tcPr>
            <w:tcW w:w="1094" w:type="pct"/>
            <w:gridSpan w:val="2"/>
            <w:shd w:val="clear" w:color="auto" w:fill="auto"/>
            <w:vAlign w:val="center"/>
          </w:tcPr>
          <w:p w14:paraId="554E2DB5">
            <w:pPr>
              <w:pStyle w:val="51"/>
              <w:rPr>
                <w:color w:val="auto"/>
              </w:rPr>
            </w:pPr>
            <w:r>
              <w:rPr>
                <w:rFonts w:hint="eastAsia"/>
                <w:color w:val="auto"/>
              </w:rPr>
              <w:t>废磨毛料</w:t>
            </w:r>
          </w:p>
        </w:tc>
        <w:tc>
          <w:tcPr>
            <w:tcW w:w="689" w:type="pct"/>
            <w:vMerge w:val="continue"/>
            <w:shd w:val="clear" w:color="auto" w:fill="auto"/>
            <w:vAlign w:val="center"/>
          </w:tcPr>
          <w:p w14:paraId="43634ED4">
            <w:pPr>
              <w:pStyle w:val="51"/>
              <w:rPr>
                <w:color w:val="auto"/>
              </w:rPr>
            </w:pPr>
          </w:p>
        </w:tc>
        <w:tc>
          <w:tcPr>
            <w:tcW w:w="1169" w:type="pct"/>
            <w:vMerge w:val="continue"/>
            <w:shd w:val="clear" w:color="auto" w:fill="auto"/>
            <w:vAlign w:val="center"/>
          </w:tcPr>
          <w:p w14:paraId="5D389D96">
            <w:pPr>
              <w:pStyle w:val="51"/>
              <w:rPr>
                <w:color w:val="auto"/>
              </w:rPr>
            </w:pPr>
          </w:p>
        </w:tc>
        <w:tc>
          <w:tcPr>
            <w:tcW w:w="1523" w:type="pct"/>
            <w:vMerge w:val="continue"/>
            <w:shd w:val="clear" w:color="auto" w:fill="auto"/>
            <w:vAlign w:val="center"/>
          </w:tcPr>
          <w:p w14:paraId="11912E86">
            <w:pPr>
              <w:pStyle w:val="51"/>
              <w:rPr>
                <w:color w:val="auto"/>
              </w:rPr>
            </w:pPr>
          </w:p>
        </w:tc>
      </w:tr>
      <w:tr w14:paraId="0A15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3" w:type="pct"/>
            <w:vMerge w:val="continue"/>
            <w:shd w:val="clear" w:color="auto" w:fill="auto"/>
            <w:vAlign w:val="center"/>
          </w:tcPr>
          <w:p w14:paraId="0A391F8F">
            <w:pPr>
              <w:pStyle w:val="51"/>
              <w:rPr>
                <w:color w:val="auto"/>
              </w:rPr>
            </w:pPr>
          </w:p>
        </w:tc>
        <w:tc>
          <w:tcPr>
            <w:tcW w:w="1094" w:type="pct"/>
            <w:gridSpan w:val="2"/>
            <w:shd w:val="clear" w:color="auto" w:fill="auto"/>
            <w:vAlign w:val="center"/>
          </w:tcPr>
          <w:p w14:paraId="280FE943">
            <w:pPr>
              <w:pStyle w:val="51"/>
              <w:rPr>
                <w:color w:val="auto"/>
              </w:rPr>
            </w:pPr>
            <w:r>
              <w:rPr>
                <w:rFonts w:hint="eastAsia"/>
                <w:color w:val="auto"/>
              </w:rPr>
              <w:t>废布</w:t>
            </w:r>
          </w:p>
        </w:tc>
        <w:tc>
          <w:tcPr>
            <w:tcW w:w="689" w:type="pct"/>
            <w:vMerge w:val="continue"/>
            <w:shd w:val="clear" w:color="auto" w:fill="auto"/>
            <w:vAlign w:val="center"/>
          </w:tcPr>
          <w:p w14:paraId="61A9C49B">
            <w:pPr>
              <w:pStyle w:val="51"/>
              <w:rPr>
                <w:color w:val="auto"/>
              </w:rPr>
            </w:pPr>
          </w:p>
        </w:tc>
        <w:tc>
          <w:tcPr>
            <w:tcW w:w="1169" w:type="pct"/>
            <w:vMerge w:val="continue"/>
            <w:shd w:val="clear" w:color="auto" w:fill="auto"/>
            <w:vAlign w:val="center"/>
          </w:tcPr>
          <w:p w14:paraId="6CCE7004">
            <w:pPr>
              <w:pStyle w:val="51"/>
              <w:rPr>
                <w:color w:val="auto"/>
              </w:rPr>
            </w:pPr>
          </w:p>
        </w:tc>
        <w:tc>
          <w:tcPr>
            <w:tcW w:w="1523" w:type="pct"/>
            <w:vMerge w:val="continue"/>
            <w:shd w:val="clear" w:color="auto" w:fill="auto"/>
            <w:vAlign w:val="center"/>
          </w:tcPr>
          <w:p w14:paraId="696F58C3">
            <w:pPr>
              <w:pStyle w:val="51"/>
              <w:rPr>
                <w:color w:val="auto"/>
              </w:rPr>
            </w:pPr>
          </w:p>
        </w:tc>
      </w:tr>
      <w:tr w14:paraId="3FD4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3" w:type="pct"/>
            <w:vMerge w:val="continue"/>
            <w:shd w:val="clear" w:color="auto" w:fill="auto"/>
            <w:vAlign w:val="center"/>
          </w:tcPr>
          <w:p w14:paraId="0D8D7880">
            <w:pPr>
              <w:pStyle w:val="51"/>
              <w:rPr>
                <w:color w:val="auto"/>
              </w:rPr>
            </w:pPr>
          </w:p>
        </w:tc>
        <w:tc>
          <w:tcPr>
            <w:tcW w:w="1094" w:type="pct"/>
            <w:gridSpan w:val="2"/>
            <w:shd w:val="clear" w:color="auto" w:fill="auto"/>
            <w:vAlign w:val="center"/>
          </w:tcPr>
          <w:p w14:paraId="4CE005EC">
            <w:pPr>
              <w:pStyle w:val="51"/>
              <w:rPr>
                <w:color w:val="auto"/>
              </w:rPr>
            </w:pPr>
            <w:r>
              <w:rPr>
                <w:rFonts w:hint="eastAsia"/>
                <w:color w:val="auto"/>
              </w:rPr>
              <w:t>废包装材料</w:t>
            </w:r>
          </w:p>
        </w:tc>
        <w:tc>
          <w:tcPr>
            <w:tcW w:w="689" w:type="pct"/>
            <w:vMerge w:val="continue"/>
            <w:shd w:val="clear" w:color="auto" w:fill="auto"/>
            <w:vAlign w:val="center"/>
          </w:tcPr>
          <w:p w14:paraId="7B27A8C9">
            <w:pPr>
              <w:pStyle w:val="51"/>
              <w:rPr>
                <w:color w:val="auto"/>
              </w:rPr>
            </w:pPr>
          </w:p>
        </w:tc>
        <w:tc>
          <w:tcPr>
            <w:tcW w:w="1169" w:type="pct"/>
            <w:vMerge w:val="continue"/>
            <w:shd w:val="clear" w:color="auto" w:fill="auto"/>
            <w:vAlign w:val="center"/>
          </w:tcPr>
          <w:p w14:paraId="175B743F">
            <w:pPr>
              <w:pStyle w:val="51"/>
              <w:rPr>
                <w:color w:val="auto"/>
              </w:rPr>
            </w:pPr>
          </w:p>
        </w:tc>
        <w:tc>
          <w:tcPr>
            <w:tcW w:w="1523" w:type="pct"/>
            <w:vMerge w:val="continue"/>
            <w:shd w:val="clear" w:color="auto" w:fill="auto"/>
            <w:vAlign w:val="center"/>
          </w:tcPr>
          <w:p w14:paraId="2261595D">
            <w:pPr>
              <w:pStyle w:val="51"/>
              <w:rPr>
                <w:color w:val="auto"/>
              </w:rPr>
            </w:pPr>
          </w:p>
        </w:tc>
      </w:tr>
      <w:tr w14:paraId="0809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3" w:type="pct"/>
            <w:vMerge w:val="continue"/>
            <w:shd w:val="clear" w:color="auto" w:fill="auto"/>
            <w:vAlign w:val="center"/>
          </w:tcPr>
          <w:p w14:paraId="15E11897">
            <w:pPr>
              <w:pStyle w:val="51"/>
              <w:rPr>
                <w:color w:val="auto"/>
              </w:rPr>
            </w:pPr>
          </w:p>
        </w:tc>
        <w:tc>
          <w:tcPr>
            <w:tcW w:w="1094" w:type="pct"/>
            <w:gridSpan w:val="2"/>
            <w:shd w:val="clear" w:color="auto" w:fill="auto"/>
            <w:vAlign w:val="center"/>
          </w:tcPr>
          <w:p w14:paraId="1276314C">
            <w:pPr>
              <w:pStyle w:val="51"/>
              <w:rPr>
                <w:color w:val="auto"/>
              </w:rPr>
            </w:pPr>
            <w:r>
              <w:rPr>
                <w:rFonts w:hint="eastAsia"/>
                <w:color w:val="auto"/>
              </w:rPr>
              <w:t>废过滤介质</w:t>
            </w:r>
          </w:p>
        </w:tc>
        <w:tc>
          <w:tcPr>
            <w:tcW w:w="689" w:type="pct"/>
            <w:vMerge w:val="continue"/>
            <w:shd w:val="clear" w:color="auto" w:fill="auto"/>
            <w:vAlign w:val="center"/>
          </w:tcPr>
          <w:p w14:paraId="413373E1">
            <w:pPr>
              <w:pStyle w:val="51"/>
              <w:rPr>
                <w:color w:val="auto"/>
              </w:rPr>
            </w:pPr>
          </w:p>
        </w:tc>
        <w:tc>
          <w:tcPr>
            <w:tcW w:w="1169" w:type="pct"/>
            <w:vMerge w:val="continue"/>
            <w:shd w:val="clear" w:color="auto" w:fill="auto"/>
            <w:vAlign w:val="center"/>
          </w:tcPr>
          <w:p w14:paraId="7E20A88E">
            <w:pPr>
              <w:pStyle w:val="51"/>
              <w:rPr>
                <w:color w:val="auto"/>
              </w:rPr>
            </w:pPr>
          </w:p>
        </w:tc>
        <w:tc>
          <w:tcPr>
            <w:tcW w:w="1523" w:type="pct"/>
            <w:vMerge w:val="continue"/>
            <w:shd w:val="clear" w:color="auto" w:fill="auto"/>
            <w:vAlign w:val="center"/>
          </w:tcPr>
          <w:p w14:paraId="78B50CE1">
            <w:pPr>
              <w:pStyle w:val="51"/>
              <w:rPr>
                <w:color w:val="auto"/>
              </w:rPr>
            </w:pPr>
          </w:p>
        </w:tc>
      </w:tr>
      <w:tr w14:paraId="12CF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3" w:type="pct"/>
            <w:vMerge w:val="continue"/>
            <w:shd w:val="clear" w:color="auto" w:fill="auto"/>
            <w:vAlign w:val="center"/>
          </w:tcPr>
          <w:p w14:paraId="0CEFBEAF">
            <w:pPr>
              <w:pStyle w:val="51"/>
              <w:rPr>
                <w:color w:val="auto"/>
              </w:rPr>
            </w:pPr>
          </w:p>
        </w:tc>
        <w:tc>
          <w:tcPr>
            <w:tcW w:w="1094" w:type="pct"/>
            <w:gridSpan w:val="2"/>
            <w:shd w:val="clear" w:color="auto" w:fill="auto"/>
            <w:vAlign w:val="center"/>
          </w:tcPr>
          <w:p w14:paraId="0A05F352">
            <w:pPr>
              <w:pStyle w:val="51"/>
              <w:rPr>
                <w:color w:val="auto"/>
              </w:rPr>
            </w:pPr>
            <w:r>
              <w:rPr>
                <w:rFonts w:hint="eastAsia"/>
                <w:color w:val="auto"/>
              </w:rPr>
              <w:t>生化污泥</w:t>
            </w:r>
          </w:p>
        </w:tc>
        <w:tc>
          <w:tcPr>
            <w:tcW w:w="689" w:type="pct"/>
            <w:shd w:val="clear" w:color="auto" w:fill="auto"/>
            <w:vAlign w:val="center"/>
          </w:tcPr>
          <w:p w14:paraId="67466D64">
            <w:pPr>
              <w:pStyle w:val="51"/>
              <w:rPr>
                <w:color w:val="auto"/>
              </w:rPr>
            </w:pPr>
            <w:r>
              <w:rPr>
                <w:rFonts w:hint="eastAsia"/>
                <w:color w:val="auto"/>
                <w:lang w:val="en-US" w:eastAsia="zh-CN"/>
              </w:rPr>
              <w:t>待鉴定</w:t>
            </w:r>
          </w:p>
        </w:tc>
        <w:tc>
          <w:tcPr>
            <w:tcW w:w="1169" w:type="pct"/>
            <w:shd w:val="clear" w:color="auto" w:fill="auto"/>
            <w:vAlign w:val="center"/>
          </w:tcPr>
          <w:p w14:paraId="5D00D05F">
            <w:pPr>
              <w:pStyle w:val="51"/>
              <w:rPr>
                <w:color w:val="auto"/>
              </w:rPr>
            </w:pPr>
            <w:r>
              <w:rPr>
                <w:rFonts w:hint="default"/>
                <w:color w:val="auto"/>
              </w:rPr>
              <w:t>收集后暂存危废库</w:t>
            </w:r>
            <w:r>
              <w:rPr>
                <w:rFonts w:hint="eastAsia"/>
                <w:color w:val="auto"/>
                <w:lang w:eastAsia="zh-CN"/>
              </w:rPr>
              <w:t>，</w:t>
            </w:r>
            <w:r>
              <w:rPr>
                <w:rFonts w:hint="eastAsia"/>
                <w:color w:val="auto"/>
                <w:lang w:val="en-US" w:eastAsia="zh-CN"/>
              </w:rPr>
              <w:t>处置</w:t>
            </w:r>
            <w:r>
              <w:rPr>
                <w:rFonts w:hint="eastAsia"/>
                <w:color w:val="auto"/>
              </w:rPr>
              <w:t>前需经过鉴定，如具有危险特性，则委托有资质单位</w:t>
            </w:r>
            <w:r>
              <w:rPr>
                <w:rFonts w:hint="eastAsia"/>
                <w:color w:val="auto"/>
                <w:lang w:val="en-US" w:eastAsia="zh-CN"/>
              </w:rPr>
              <w:t>处置</w:t>
            </w:r>
            <w:r>
              <w:rPr>
                <w:rFonts w:hint="eastAsia"/>
                <w:color w:val="auto"/>
              </w:rPr>
              <w:t>；如不具有危险特性，则外售综合利用</w:t>
            </w:r>
          </w:p>
        </w:tc>
        <w:tc>
          <w:tcPr>
            <w:tcW w:w="1523" w:type="pct"/>
            <w:shd w:val="clear" w:color="auto" w:fill="auto"/>
            <w:vAlign w:val="center"/>
          </w:tcPr>
          <w:p w14:paraId="78AED7E1">
            <w:pPr>
              <w:pStyle w:val="51"/>
              <w:rPr>
                <w:rFonts w:hint="eastAsia" w:eastAsia="宋体"/>
                <w:color w:val="auto"/>
                <w:lang w:val="en-US" w:eastAsia="zh-CN"/>
              </w:rPr>
            </w:pPr>
            <w:r>
              <w:rPr>
                <w:rFonts w:hint="eastAsia"/>
                <w:color w:val="auto"/>
                <w:lang w:val="en-US" w:eastAsia="zh-CN"/>
              </w:rPr>
              <w:t>待鉴定</w:t>
            </w:r>
          </w:p>
        </w:tc>
      </w:tr>
      <w:tr w14:paraId="6317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3" w:type="pct"/>
            <w:vMerge w:val="continue"/>
            <w:shd w:val="clear" w:color="auto" w:fill="auto"/>
            <w:vAlign w:val="center"/>
          </w:tcPr>
          <w:p w14:paraId="46BAD08D">
            <w:pPr>
              <w:pStyle w:val="51"/>
              <w:rPr>
                <w:color w:val="auto"/>
              </w:rPr>
            </w:pPr>
          </w:p>
        </w:tc>
        <w:tc>
          <w:tcPr>
            <w:tcW w:w="1094" w:type="pct"/>
            <w:gridSpan w:val="2"/>
            <w:shd w:val="clear" w:color="auto" w:fill="auto"/>
            <w:vAlign w:val="center"/>
          </w:tcPr>
          <w:p w14:paraId="0C10E984">
            <w:pPr>
              <w:pStyle w:val="51"/>
              <w:rPr>
                <w:color w:val="auto"/>
              </w:rPr>
            </w:pPr>
            <w:r>
              <w:rPr>
                <w:rFonts w:hint="eastAsia"/>
                <w:color w:val="auto"/>
              </w:rPr>
              <w:t>物化污泥</w:t>
            </w:r>
          </w:p>
        </w:tc>
        <w:tc>
          <w:tcPr>
            <w:tcW w:w="689" w:type="pct"/>
            <w:vMerge w:val="restart"/>
            <w:shd w:val="clear" w:color="auto" w:fill="auto"/>
            <w:vAlign w:val="center"/>
          </w:tcPr>
          <w:p w14:paraId="18EB9D1B">
            <w:pPr>
              <w:pStyle w:val="51"/>
              <w:rPr>
                <w:color w:val="auto"/>
              </w:rPr>
            </w:pPr>
            <w:r>
              <w:rPr>
                <w:rFonts w:hint="eastAsia"/>
                <w:color w:val="auto"/>
              </w:rPr>
              <w:t>危险固废</w:t>
            </w:r>
          </w:p>
        </w:tc>
        <w:tc>
          <w:tcPr>
            <w:tcW w:w="1169" w:type="pct"/>
            <w:vMerge w:val="restart"/>
            <w:shd w:val="clear" w:color="auto" w:fill="auto"/>
            <w:vAlign w:val="center"/>
          </w:tcPr>
          <w:p w14:paraId="3B392585">
            <w:pPr>
              <w:pStyle w:val="51"/>
              <w:rPr>
                <w:color w:val="auto"/>
              </w:rPr>
            </w:pPr>
            <w:r>
              <w:rPr>
                <w:color w:val="auto"/>
              </w:rPr>
              <w:t>收集后暂存危废库，委托有资质单位处置</w:t>
            </w:r>
          </w:p>
        </w:tc>
        <w:tc>
          <w:tcPr>
            <w:tcW w:w="1523" w:type="pct"/>
            <w:vMerge w:val="restart"/>
            <w:shd w:val="clear" w:color="auto" w:fill="auto"/>
            <w:vAlign w:val="center"/>
          </w:tcPr>
          <w:p w14:paraId="6F7E667F">
            <w:pPr>
              <w:pStyle w:val="51"/>
              <w:rPr>
                <w:color w:val="auto"/>
              </w:rPr>
            </w:pPr>
            <w:r>
              <w:rPr>
                <w:color w:val="auto"/>
              </w:rPr>
              <w:t>《危险废物贮存污染控制标准》(GB18597-2023)</w:t>
            </w:r>
          </w:p>
        </w:tc>
      </w:tr>
      <w:tr w14:paraId="3FE1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3" w:type="pct"/>
            <w:vMerge w:val="continue"/>
            <w:shd w:val="clear" w:color="auto" w:fill="auto"/>
            <w:vAlign w:val="center"/>
          </w:tcPr>
          <w:p w14:paraId="7DA5AC94">
            <w:pPr>
              <w:pStyle w:val="51"/>
              <w:rPr>
                <w:color w:val="auto"/>
              </w:rPr>
            </w:pPr>
          </w:p>
        </w:tc>
        <w:tc>
          <w:tcPr>
            <w:tcW w:w="1094" w:type="pct"/>
            <w:gridSpan w:val="2"/>
            <w:shd w:val="clear" w:color="auto" w:fill="auto"/>
            <w:vAlign w:val="center"/>
          </w:tcPr>
          <w:p w14:paraId="7840FC8E">
            <w:pPr>
              <w:pStyle w:val="51"/>
              <w:rPr>
                <w:color w:val="auto"/>
              </w:rPr>
            </w:pPr>
            <w:r>
              <w:rPr>
                <w:rFonts w:hint="eastAsia"/>
                <w:color w:val="auto"/>
              </w:rPr>
              <w:t>废加弹油</w:t>
            </w:r>
          </w:p>
        </w:tc>
        <w:tc>
          <w:tcPr>
            <w:tcW w:w="689" w:type="pct"/>
            <w:vMerge w:val="continue"/>
            <w:shd w:val="clear" w:color="auto" w:fill="auto"/>
            <w:vAlign w:val="center"/>
          </w:tcPr>
          <w:p w14:paraId="55574DB3">
            <w:pPr>
              <w:pStyle w:val="51"/>
              <w:rPr>
                <w:color w:val="auto"/>
              </w:rPr>
            </w:pPr>
          </w:p>
        </w:tc>
        <w:tc>
          <w:tcPr>
            <w:tcW w:w="1169" w:type="pct"/>
            <w:vMerge w:val="continue"/>
            <w:shd w:val="clear" w:color="auto" w:fill="auto"/>
            <w:vAlign w:val="center"/>
          </w:tcPr>
          <w:p w14:paraId="754153AE">
            <w:pPr>
              <w:pStyle w:val="51"/>
              <w:rPr>
                <w:color w:val="auto"/>
              </w:rPr>
            </w:pPr>
          </w:p>
        </w:tc>
        <w:tc>
          <w:tcPr>
            <w:tcW w:w="1523" w:type="pct"/>
            <w:vMerge w:val="continue"/>
            <w:shd w:val="clear" w:color="auto" w:fill="auto"/>
            <w:vAlign w:val="center"/>
          </w:tcPr>
          <w:p w14:paraId="5760B912">
            <w:pPr>
              <w:pStyle w:val="51"/>
              <w:rPr>
                <w:color w:val="auto"/>
              </w:rPr>
            </w:pPr>
          </w:p>
        </w:tc>
      </w:tr>
      <w:tr w14:paraId="7335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3" w:type="pct"/>
            <w:vMerge w:val="continue"/>
            <w:shd w:val="clear" w:color="auto" w:fill="auto"/>
            <w:vAlign w:val="center"/>
          </w:tcPr>
          <w:p w14:paraId="7306812F">
            <w:pPr>
              <w:pStyle w:val="51"/>
              <w:rPr>
                <w:color w:val="auto"/>
              </w:rPr>
            </w:pPr>
          </w:p>
        </w:tc>
        <w:tc>
          <w:tcPr>
            <w:tcW w:w="1094" w:type="pct"/>
            <w:gridSpan w:val="2"/>
            <w:shd w:val="clear" w:color="auto" w:fill="auto"/>
            <w:vAlign w:val="center"/>
          </w:tcPr>
          <w:p w14:paraId="66FEEB3F">
            <w:pPr>
              <w:pStyle w:val="51"/>
              <w:rPr>
                <w:color w:val="auto"/>
              </w:rPr>
            </w:pPr>
            <w:r>
              <w:rPr>
                <w:rFonts w:hint="eastAsia"/>
                <w:color w:val="auto"/>
              </w:rPr>
              <w:t>废机油</w:t>
            </w:r>
          </w:p>
        </w:tc>
        <w:tc>
          <w:tcPr>
            <w:tcW w:w="689" w:type="pct"/>
            <w:vMerge w:val="continue"/>
            <w:shd w:val="clear" w:color="auto" w:fill="auto"/>
            <w:vAlign w:val="center"/>
          </w:tcPr>
          <w:p w14:paraId="721350F6">
            <w:pPr>
              <w:pStyle w:val="51"/>
              <w:rPr>
                <w:color w:val="auto"/>
              </w:rPr>
            </w:pPr>
          </w:p>
        </w:tc>
        <w:tc>
          <w:tcPr>
            <w:tcW w:w="1169" w:type="pct"/>
            <w:vMerge w:val="continue"/>
            <w:shd w:val="clear" w:color="auto" w:fill="auto"/>
            <w:vAlign w:val="center"/>
          </w:tcPr>
          <w:p w14:paraId="354DDDB0">
            <w:pPr>
              <w:pStyle w:val="51"/>
              <w:rPr>
                <w:color w:val="auto"/>
              </w:rPr>
            </w:pPr>
          </w:p>
        </w:tc>
        <w:tc>
          <w:tcPr>
            <w:tcW w:w="1523" w:type="pct"/>
            <w:vMerge w:val="continue"/>
            <w:shd w:val="clear" w:color="auto" w:fill="auto"/>
            <w:vAlign w:val="center"/>
          </w:tcPr>
          <w:p w14:paraId="1D1D94E3">
            <w:pPr>
              <w:pStyle w:val="51"/>
              <w:rPr>
                <w:color w:val="auto"/>
              </w:rPr>
            </w:pPr>
          </w:p>
        </w:tc>
      </w:tr>
      <w:tr w14:paraId="7335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3" w:type="pct"/>
            <w:vMerge w:val="continue"/>
            <w:shd w:val="clear" w:color="auto" w:fill="auto"/>
            <w:vAlign w:val="center"/>
          </w:tcPr>
          <w:p w14:paraId="50732545">
            <w:pPr>
              <w:pStyle w:val="51"/>
              <w:rPr>
                <w:color w:val="auto"/>
              </w:rPr>
            </w:pPr>
          </w:p>
        </w:tc>
        <w:tc>
          <w:tcPr>
            <w:tcW w:w="1094" w:type="pct"/>
            <w:gridSpan w:val="2"/>
            <w:shd w:val="clear" w:color="auto" w:fill="auto"/>
            <w:vAlign w:val="center"/>
          </w:tcPr>
          <w:p w14:paraId="483AF2B4">
            <w:pPr>
              <w:pStyle w:val="51"/>
              <w:rPr>
                <w:color w:val="auto"/>
              </w:rPr>
            </w:pPr>
            <w:r>
              <w:rPr>
                <w:rFonts w:hint="eastAsia"/>
                <w:color w:val="auto"/>
              </w:rPr>
              <w:t>废机油桶</w:t>
            </w:r>
          </w:p>
        </w:tc>
        <w:tc>
          <w:tcPr>
            <w:tcW w:w="689" w:type="pct"/>
            <w:vMerge w:val="continue"/>
            <w:shd w:val="clear" w:color="auto" w:fill="auto"/>
            <w:vAlign w:val="center"/>
          </w:tcPr>
          <w:p w14:paraId="6A3CCC19">
            <w:pPr>
              <w:pStyle w:val="51"/>
              <w:rPr>
                <w:color w:val="auto"/>
              </w:rPr>
            </w:pPr>
          </w:p>
        </w:tc>
        <w:tc>
          <w:tcPr>
            <w:tcW w:w="1169" w:type="pct"/>
            <w:vMerge w:val="continue"/>
            <w:shd w:val="clear" w:color="auto" w:fill="auto"/>
            <w:vAlign w:val="center"/>
          </w:tcPr>
          <w:p w14:paraId="34EC0F94">
            <w:pPr>
              <w:pStyle w:val="51"/>
              <w:rPr>
                <w:color w:val="auto"/>
              </w:rPr>
            </w:pPr>
          </w:p>
        </w:tc>
        <w:tc>
          <w:tcPr>
            <w:tcW w:w="1523" w:type="pct"/>
            <w:vMerge w:val="continue"/>
            <w:shd w:val="clear" w:color="auto" w:fill="auto"/>
            <w:vAlign w:val="center"/>
          </w:tcPr>
          <w:p w14:paraId="70C42951">
            <w:pPr>
              <w:pStyle w:val="51"/>
              <w:rPr>
                <w:color w:val="auto"/>
              </w:rPr>
            </w:pPr>
          </w:p>
        </w:tc>
      </w:tr>
      <w:tr w14:paraId="0A80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3" w:type="pct"/>
            <w:vMerge w:val="continue"/>
            <w:shd w:val="clear" w:color="auto" w:fill="auto"/>
            <w:vAlign w:val="center"/>
          </w:tcPr>
          <w:p w14:paraId="630E408C">
            <w:pPr>
              <w:pStyle w:val="51"/>
              <w:rPr>
                <w:color w:val="auto"/>
              </w:rPr>
            </w:pPr>
          </w:p>
        </w:tc>
        <w:tc>
          <w:tcPr>
            <w:tcW w:w="1094" w:type="pct"/>
            <w:gridSpan w:val="2"/>
            <w:shd w:val="clear" w:color="auto" w:fill="auto"/>
            <w:vAlign w:val="center"/>
          </w:tcPr>
          <w:p w14:paraId="43459433">
            <w:pPr>
              <w:pStyle w:val="51"/>
              <w:rPr>
                <w:color w:val="auto"/>
              </w:rPr>
            </w:pPr>
            <w:r>
              <w:rPr>
                <w:rFonts w:hint="eastAsia"/>
                <w:color w:val="auto"/>
              </w:rPr>
              <w:t>生活垃圾</w:t>
            </w:r>
          </w:p>
        </w:tc>
        <w:tc>
          <w:tcPr>
            <w:tcW w:w="689" w:type="pct"/>
            <w:shd w:val="clear" w:color="auto" w:fill="auto"/>
            <w:vAlign w:val="center"/>
          </w:tcPr>
          <w:p w14:paraId="1795667B">
            <w:pPr>
              <w:pStyle w:val="51"/>
              <w:rPr>
                <w:color w:val="auto"/>
              </w:rPr>
            </w:pPr>
            <w:r>
              <w:rPr>
                <w:rFonts w:hint="eastAsia"/>
                <w:color w:val="auto"/>
              </w:rPr>
              <w:t>/</w:t>
            </w:r>
          </w:p>
        </w:tc>
        <w:tc>
          <w:tcPr>
            <w:tcW w:w="1169" w:type="pct"/>
            <w:shd w:val="clear" w:color="auto" w:fill="auto"/>
            <w:vAlign w:val="center"/>
          </w:tcPr>
          <w:p w14:paraId="193FF006">
            <w:pPr>
              <w:pStyle w:val="51"/>
              <w:rPr>
                <w:color w:val="auto"/>
              </w:rPr>
            </w:pPr>
            <w:r>
              <w:rPr>
                <w:color w:val="auto"/>
              </w:rPr>
              <w:t>由环卫部门清运处理</w:t>
            </w:r>
          </w:p>
        </w:tc>
        <w:tc>
          <w:tcPr>
            <w:tcW w:w="1523" w:type="pct"/>
            <w:shd w:val="clear" w:color="auto" w:fill="auto"/>
            <w:vAlign w:val="center"/>
          </w:tcPr>
          <w:p w14:paraId="35DEBA40">
            <w:pPr>
              <w:pStyle w:val="51"/>
              <w:rPr>
                <w:color w:val="auto"/>
              </w:rPr>
            </w:pPr>
            <w:r>
              <w:rPr>
                <w:rFonts w:hint="eastAsia"/>
                <w:color w:val="auto"/>
              </w:rPr>
              <w:t>/</w:t>
            </w:r>
          </w:p>
        </w:tc>
      </w:tr>
      <w:tr w14:paraId="2795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3" w:type="pct"/>
            <w:shd w:val="clear" w:color="auto" w:fill="auto"/>
            <w:vAlign w:val="center"/>
          </w:tcPr>
          <w:p w14:paraId="10639FE1">
            <w:pPr>
              <w:pStyle w:val="51"/>
              <w:rPr>
                <w:color w:val="auto"/>
              </w:rPr>
            </w:pPr>
            <w:r>
              <w:rPr>
                <w:color w:val="auto"/>
              </w:rPr>
              <w:t>土壤及地下水污染防治措施</w:t>
            </w:r>
          </w:p>
        </w:tc>
        <w:tc>
          <w:tcPr>
            <w:tcW w:w="4476" w:type="pct"/>
            <w:gridSpan w:val="5"/>
            <w:shd w:val="clear" w:color="auto" w:fill="auto"/>
            <w:vAlign w:val="center"/>
          </w:tcPr>
          <w:p w14:paraId="45CD1C7F">
            <w:pPr>
              <w:pStyle w:val="51"/>
              <w:ind w:firstLine="420" w:firstLineChars="200"/>
              <w:jc w:val="both"/>
              <w:rPr>
                <w:color w:val="auto"/>
              </w:rPr>
            </w:pPr>
            <w:r>
              <w:rPr>
                <w:color w:val="auto"/>
              </w:rPr>
              <w:t>①源头控制措施。实施清洁生产，实现废物资源化利用，减少污染物的排放；加强环境管理；</w:t>
            </w:r>
          </w:p>
          <w:p w14:paraId="7FF21E04">
            <w:pPr>
              <w:pStyle w:val="51"/>
              <w:ind w:firstLine="420" w:firstLineChars="200"/>
              <w:jc w:val="both"/>
              <w:rPr>
                <w:color w:val="auto"/>
              </w:rPr>
            </w:pPr>
            <w:r>
              <w:rPr>
                <w:color w:val="auto"/>
              </w:rPr>
              <w:t>②分区防渗。重点防渗区：</w:t>
            </w:r>
            <w:r>
              <w:rPr>
                <w:rFonts w:hint="eastAsia"/>
                <w:color w:val="auto"/>
              </w:rPr>
              <w:t>危废仓库</w:t>
            </w:r>
            <w:r>
              <w:rPr>
                <w:color w:val="auto"/>
              </w:rPr>
              <w:t>、</w:t>
            </w:r>
            <w:r>
              <w:rPr>
                <w:rFonts w:hint="eastAsia"/>
                <w:color w:val="auto"/>
              </w:rPr>
              <w:t>原料库（加弹剂油、机油</w:t>
            </w:r>
            <w:r>
              <w:rPr>
                <w:rFonts w:hint="eastAsia"/>
                <w:color w:val="auto"/>
                <w:lang w:eastAsia="zh-CN"/>
              </w:rPr>
              <w:t>、</w:t>
            </w:r>
            <w:r>
              <w:rPr>
                <w:rFonts w:hint="eastAsia"/>
                <w:color w:val="auto"/>
                <w:lang w:val="en-US" w:eastAsia="zh-CN"/>
              </w:rPr>
              <w:t>PFS</w:t>
            </w:r>
            <w:r>
              <w:rPr>
                <w:rFonts w:hint="eastAsia"/>
                <w:color w:val="auto"/>
              </w:rPr>
              <w:t>）</w:t>
            </w:r>
            <w:r>
              <w:rPr>
                <w:color w:val="auto"/>
              </w:rPr>
              <w:t>；一般防渗区：车间内除重点防渗区外其他区域、一般固废库；简单防渗区：生活区。</w:t>
            </w:r>
          </w:p>
        </w:tc>
      </w:tr>
      <w:tr w14:paraId="6BCF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23" w:type="pct"/>
            <w:shd w:val="clear" w:color="auto" w:fill="auto"/>
            <w:vAlign w:val="center"/>
          </w:tcPr>
          <w:p w14:paraId="54D55D5D">
            <w:pPr>
              <w:pStyle w:val="51"/>
              <w:rPr>
                <w:color w:val="auto"/>
              </w:rPr>
            </w:pPr>
            <w:r>
              <w:rPr>
                <w:color w:val="auto"/>
              </w:rPr>
              <w:t>生态保护措施</w:t>
            </w:r>
          </w:p>
        </w:tc>
        <w:tc>
          <w:tcPr>
            <w:tcW w:w="4476" w:type="pct"/>
            <w:gridSpan w:val="5"/>
            <w:shd w:val="clear" w:color="auto" w:fill="auto"/>
            <w:vAlign w:val="center"/>
          </w:tcPr>
          <w:p w14:paraId="4FFC53FE">
            <w:pPr>
              <w:pStyle w:val="51"/>
              <w:ind w:firstLine="420" w:firstLineChars="200"/>
              <w:jc w:val="both"/>
              <w:rPr>
                <w:color w:val="auto"/>
              </w:rPr>
            </w:pPr>
            <w:r>
              <w:rPr>
                <w:color w:val="auto"/>
              </w:rPr>
              <w:t>本项目位于工业园区，区域内无需特殊保护的动植物，人群活动密集，生物多样性程度低，且本项目位于园区内，不占用其他土地资源，不会改变土地功能，不会产生显著的生态影响。</w:t>
            </w:r>
          </w:p>
        </w:tc>
      </w:tr>
      <w:tr w14:paraId="30D9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23" w:type="pct"/>
            <w:shd w:val="clear" w:color="auto" w:fill="auto"/>
            <w:vAlign w:val="center"/>
          </w:tcPr>
          <w:p w14:paraId="3293B073">
            <w:pPr>
              <w:pStyle w:val="51"/>
              <w:rPr>
                <w:color w:val="auto"/>
              </w:rPr>
            </w:pPr>
            <w:r>
              <w:rPr>
                <w:color w:val="auto"/>
              </w:rPr>
              <w:t>环境风险防范措施</w:t>
            </w:r>
          </w:p>
        </w:tc>
        <w:tc>
          <w:tcPr>
            <w:tcW w:w="4476" w:type="pct"/>
            <w:gridSpan w:val="5"/>
            <w:shd w:val="clear" w:color="auto" w:fill="auto"/>
            <w:vAlign w:val="center"/>
          </w:tcPr>
          <w:p w14:paraId="03B4DE0C">
            <w:pPr>
              <w:pStyle w:val="51"/>
              <w:ind w:firstLine="420" w:firstLineChars="200"/>
              <w:jc w:val="both"/>
              <w:rPr>
                <w:color w:val="auto"/>
              </w:rPr>
            </w:pPr>
            <w:r>
              <w:rPr>
                <w:color w:val="auto"/>
              </w:rPr>
              <w:t>①分区防渗，以满足不同防渗区域的防渗要求；</w:t>
            </w:r>
          </w:p>
          <w:p w14:paraId="60CD2685">
            <w:pPr>
              <w:pStyle w:val="51"/>
              <w:ind w:firstLine="420" w:firstLineChars="200"/>
              <w:jc w:val="both"/>
              <w:rPr>
                <w:color w:val="auto"/>
              </w:rPr>
            </w:pPr>
            <w:r>
              <w:rPr>
                <w:color w:val="auto"/>
              </w:rPr>
              <w:t>②按照《建筑灭火器的配置设计规范》，在站区各处配置消防栓、灭火器，设置防火警示标志、禁止明火；</w:t>
            </w:r>
          </w:p>
          <w:p w14:paraId="3AEAA28E">
            <w:pPr>
              <w:pStyle w:val="51"/>
              <w:ind w:firstLine="420" w:firstLineChars="200"/>
              <w:jc w:val="both"/>
              <w:rPr>
                <w:color w:val="auto"/>
              </w:rPr>
            </w:pPr>
            <w:r>
              <w:rPr>
                <w:color w:val="auto"/>
              </w:rPr>
              <w:t>③加强各环保设施的日常维护工作；</w:t>
            </w:r>
          </w:p>
          <w:p w14:paraId="2DB38D32">
            <w:pPr>
              <w:pStyle w:val="51"/>
              <w:ind w:firstLine="420" w:firstLineChars="200"/>
              <w:jc w:val="both"/>
              <w:rPr>
                <w:color w:val="auto"/>
              </w:rPr>
            </w:pPr>
            <w:r>
              <w:rPr>
                <w:color w:val="auto"/>
              </w:rPr>
              <w:t>④落实突发环境事件应急防范措施，建立环境风险应急联防机制，加强库房的安全管理，制定严格的岗位责任制度，安全操作注意事项等制度，购买应急物资；</w:t>
            </w:r>
          </w:p>
        </w:tc>
      </w:tr>
      <w:tr w14:paraId="738D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23" w:type="pct"/>
            <w:shd w:val="clear" w:color="auto" w:fill="auto"/>
            <w:vAlign w:val="center"/>
          </w:tcPr>
          <w:p w14:paraId="46611101">
            <w:pPr>
              <w:pStyle w:val="51"/>
              <w:rPr>
                <w:color w:val="auto"/>
              </w:rPr>
            </w:pPr>
            <w:r>
              <w:rPr>
                <w:color w:val="auto"/>
              </w:rPr>
              <w:t>其他环境管理要求</w:t>
            </w:r>
          </w:p>
        </w:tc>
        <w:tc>
          <w:tcPr>
            <w:tcW w:w="4476" w:type="pct"/>
            <w:gridSpan w:val="5"/>
            <w:shd w:val="clear" w:color="auto" w:fill="auto"/>
            <w:vAlign w:val="center"/>
          </w:tcPr>
          <w:p w14:paraId="7B38E260">
            <w:pPr>
              <w:pStyle w:val="51"/>
              <w:ind w:firstLine="422" w:firstLineChars="200"/>
              <w:jc w:val="both"/>
              <w:rPr>
                <w:b/>
                <w:bCs/>
                <w:color w:val="auto"/>
              </w:rPr>
            </w:pPr>
            <w:r>
              <w:rPr>
                <w:b/>
                <w:bCs/>
                <w:color w:val="auto"/>
              </w:rPr>
              <w:t>1）环境管理计划</w:t>
            </w:r>
          </w:p>
          <w:p w14:paraId="326B72B6">
            <w:pPr>
              <w:pStyle w:val="51"/>
              <w:ind w:firstLine="420" w:firstLineChars="200"/>
              <w:jc w:val="both"/>
              <w:rPr>
                <w:color w:val="auto"/>
              </w:rPr>
            </w:pPr>
            <w:r>
              <w:rPr>
                <w:color w:val="auto"/>
              </w:rPr>
              <w:t>①严格执行“三同时”制度。在项目筹备、设计和施工建设不同阶段，均应严格执行“三同时”制度，确保污染处理设施能够与生产工艺设施“同时设计、同时施工、同时竣工”；</w:t>
            </w:r>
          </w:p>
          <w:p w14:paraId="77EE8CEF">
            <w:pPr>
              <w:pStyle w:val="51"/>
              <w:ind w:firstLine="420" w:firstLineChars="200"/>
              <w:jc w:val="both"/>
              <w:rPr>
                <w:color w:val="auto"/>
              </w:rPr>
            </w:pPr>
            <w:r>
              <w:rPr>
                <w:color w:val="auto"/>
              </w:rPr>
              <w:t>②建立环境报告制度。应按有关法规的要求，严格执行排污申报制度；此外，在项目工程排污发生重大变化、污染治理设施发生重大改变或拟实施新、改、新建项目时必须及时向相关环保行政主管部门申报；</w:t>
            </w:r>
          </w:p>
          <w:p w14:paraId="2D427B57">
            <w:pPr>
              <w:pStyle w:val="51"/>
              <w:ind w:firstLine="420" w:firstLineChars="200"/>
              <w:jc w:val="both"/>
              <w:rPr>
                <w:color w:val="auto"/>
              </w:rPr>
            </w:pPr>
            <w:r>
              <w:rPr>
                <w:color w:val="auto"/>
              </w:rPr>
              <w:t>③健全污染治理设施管理制度。建立健全污染治理设施的运行、检修、维护保养的作业规程和管理制度，将污染治理设施的管理与生产经营管理一同纳入公司日常管理工作的范畴，落实责任人，建立管理台账；</w:t>
            </w:r>
          </w:p>
          <w:p w14:paraId="7CA8F596">
            <w:pPr>
              <w:pStyle w:val="51"/>
              <w:ind w:firstLine="420" w:firstLineChars="200"/>
              <w:jc w:val="both"/>
              <w:rPr>
                <w:color w:val="auto"/>
              </w:rPr>
            </w:pPr>
            <w:r>
              <w:rPr>
                <w:color w:val="auto"/>
              </w:rPr>
              <w:t>④建立环境目标管理责任制和奖惩条例。建立并实施各级人员的环境目标管理责任制，把环境目标责任完成情况与奖惩制度结合起来。设置环境保护奖惩条例，在公司内部形成注重环境管理，持续改进环境绩效的氛围；</w:t>
            </w:r>
          </w:p>
          <w:p w14:paraId="4A9AD758">
            <w:pPr>
              <w:pStyle w:val="51"/>
              <w:ind w:firstLine="420" w:firstLineChars="200"/>
              <w:jc w:val="both"/>
              <w:rPr>
                <w:color w:val="auto"/>
              </w:rPr>
            </w:pPr>
            <w:r>
              <w:rPr>
                <w:color w:val="auto"/>
              </w:rPr>
              <w:t>⑤应通过“江苏企业‘环保脸谱’（一企一档）”（江苏省生态环境厅）进行危险废物申报登记；</w:t>
            </w:r>
          </w:p>
          <w:p w14:paraId="4F5A26B5">
            <w:pPr>
              <w:pStyle w:val="51"/>
              <w:ind w:firstLine="420" w:firstLineChars="200"/>
              <w:jc w:val="both"/>
              <w:rPr>
                <w:color w:val="auto"/>
              </w:rPr>
            </w:pPr>
            <w:r>
              <w:rPr>
                <w:color w:val="auto"/>
              </w:rPr>
              <w:t>⑥建立风险管理及应急救援体系，执行环境监测计划、转移联单管理制度及国家和省有关转移管理的相关规定、处置过程安全操作规程、人员培训考核制度、档案管理制度、处置全过程管理制度；</w:t>
            </w:r>
          </w:p>
          <w:p w14:paraId="357FDDEB">
            <w:pPr>
              <w:pStyle w:val="51"/>
              <w:ind w:firstLine="420" w:firstLineChars="200"/>
              <w:jc w:val="both"/>
              <w:rPr>
                <w:color w:val="auto"/>
              </w:rPr>
            </w:pPr>
            <w:r>
              <w:rPr>
                <w:color w:val="auto"/>
              </w:rPr>
              <w:t>⑦规范建设危险废物贮存场所并按照要求设置警告标志，危废包装、容器和贮存场所应按照《危险废物贮存污染控制标准》（GB18597-2023）要求张贴标识；</w:t>
            </w:r>
          </w:p>
          <w:p w14:paraId="1D024883">
            <w:pPr>
              <w:pStyle w:val="51"/>
              <w:ind w:firstLine="422" w:firstLineChars="200"/>
              <w:jc w:val="both"/>
              <w:rPr>
                <w:b/>
                <w:bCs/>
                <w:color w:val="auto"/>
              </w:rPr>
            </w:pPr>
            <w:r>
              <w:rPr>
                <w:b/>
                <w:bCs/>
                <w:color w:val="auto"/>
              </w:rPr>
              <w:t>2）排污许可管理制度</w:t>
            </w:r>
          </w:p>
          <w:p w14:paraId="1EA4BEA4">
            <w:pPr>
              <w:pStyle w:val="51"/>
              <w:ind w:firstLine="420" w:firstLineChars="200"/>
              <w:jc w:val="both"/>
              <w:rPr>
                <w:color w:val="auto"/>
              </w:rPr>
            </w:pPr>
            <w:r>
              <w:rPr>
                <w:color w:val="auto"/>
              </w:rPr>
              <w:t>根据《固定污染源排污许可分类管理名录（2019年版）》，本项目行业类别为</w:t>
            </w:r>
            <w:r>
              <w:rPr>
                <w:rFonts w:hint="eastAsia"/>
                <w:color w:val="auto"/>
              </w:rPr>
              <w:t>二十五</w:t>
            </w:r>
            <w:r>
              <w:rPr>
                <w:color w:val="auto"/>
              </w:rPr>
              <w:t>、</w:t>
            </w:r>
            <w:r>
              <w:rPr>
                <w:rFonts w:hint="eastAsia"/>
                <w:color w:val="auto"/>
              </w:rPr>
              <w:t>纺织业17，涉及喷水织机</w:t>
            </w:r>
            <w:r>
              <w:rPr>
                <w:color w:val="auto"/>
              </w:rPr>
              <w:t>工序，</w:t>
            </w:r>
            <w:r>
              <w:rPr>
                <w:rFonts w:hint="eastAsia"/>
                <w:color w:val="auto"/>
              </w:rPr>
              <w:t>故</w:t>
            </w:r>
            <w:r>
              <w:rPr>
                <w:color w:val="auto"/>
              </w:rPr>
              <w:t>本项目排污管理类别</w:t>
            </w:r>
            <w:r>
              <w:rPr>
                <w:rFonts w:hint="eastAsia"/>
                <w:color w:val="auto"/>
              </w:rPr>
              <w:t>重点</w:t>
            </w:r>
            <w:r>
              <w:rPr>
                <w:color w:val="auto"/>
              </w:rPr>
              <w:t>管理。</w:t>
            </w:r>
          </w:p>
          <w:p w14:paraId="5C751F12">
            <w:pPr>
              <w:pStyle w:val="51"/>
              <w:ind w:firstLine="422" w:firstLineChars="200"/>
              <w:jc w:val="both"/>
              <w:rPr>
                <w:b/>
                <w:bCs/>
                <w:color w:val="auto"/>
              </w:rPr>
            </w:pPr>
            <w:r>
              <w:rPr>
                <w:b/>
                <w:bCs/>
                <w:color w:val="auto"/>
              </w:rPr>
              <w:t>3）自行监测计划</w:t>
            </w:r>
          </w:p>
          <w:p w14:paraId="20BD9202">
            <w:pPr>
              <w:pStyle w:val="51"/>
              <w:ind w:firstLine="420" w:firstLineChars="200"/>
              <w:jc w:val="both"/>
              <w:rPr>
                <w:color w:val="auto"/>
              </w:rPr>
            </w:pPr>
            <w:r>
              <w:rPr>
                <w:color w:val="auto"/>
              </w:rPr>
              <w:t>根据《排污单位自行监测技术指南 总则》</w:t>
            </w:r>
            <w:r>
              <w:rPr>
                <w:rFonts w:hint="eastAsia"/>
                <w:color w:val="auto"/>
              </w:rPr>
              <w:t>（</w:t>
            </w:r>
            <w:r>
              <w:rPr>
                <w:color w:val="auto"/>
              </w:rPr>
              <w:t>HJ819-2017</w:t>
            </w:r>
            <w:r>
              <w:rPr>
                <w:rFonts w:hint="eastAsia"/>
                <w:color w:val="auto"/>
              </w:rPr>
              <w:t>）《排污单位自行监测技术指南 纺织印染工业》（HJ879-2017），</w:t>
            </w:r>
            <w:r>
              <w:rPr>
                <w:color w:val="auto"/>
              </w:rPr>
              <w:t>建设单位定期委托有资质的检（监）测机构代其开展自行监测，根据监测结果编写自行监测年度报告并上报当地环境保护主管部门。</w:t>
            </w:r>
          </w:p>
          <w:p w14:paraId="69636105">
            <w:pPr>
              <w:pStyle w:val="51"/>
              <w:ind w:firstLine="422" w:firstLineChars="200"/>
              <w:jc w:val="both"/>
              <w:rPr>
                <w:b/>
                <w:bCs/>
                <w:color w:val="auto"/>
              </w:rPr>
            </w:pPr>
            <w:r>
              <w:rPr>
                <w:b/>
                <w:bCs/>
                <w:color w:val="auto"/>
              </w:rPr>
              <w:t>4）验收监测计划</w:t>
            </w:r>
          </w:p>
          <w:p w14:paraId="192E1048">
            <w:pPr>
              <w:pStyle w:val="51"/>
              <w:ind w:firstLine="420" w:firstLineChars="200"/>
              <w:jc w:val="both"/>
              <w:rPr>
                <w:color w:val="auto"/>
              </w:rPr>
            </w:pPr>
            <w:r>
              <w:rPr>
                <w:color w:val="auto"/>
              </w:rPr>
              <w:t>当本项目达到验收标准时，根据《建设项目竣工环境保护验收技术指南 污染影响类》委托有资质的检（监）测机构代其开展验收监测，根据监测结果编写验收监测报告。</w:t>
            </w:r>
          </w:p>
          <w:p w14:paraId="54EA94D0">
            <w:pPr>
              <w:pStyle w:val="51"/>
              <w:ind w:firstLine="420" w:firstLineChars="200"/>
              <w:jc w:val="both"/>
              <w:rPr>
                <w:color w:val="auto"/>
              </w:rPr>
            </w:pPr>
          </w:p>
          <w:p w14:paraId="61B866A6">
            <w:pPr>
              <w:ind w:firstLine="420" w:firstLineChars="200"/>
              <w:rPr>
                <w:color w:val="auto"/>
              </w:rPr>
            </w:pPr>
          </w:p>
        </w:tc>
      </w:tr>
    </w:tbl>
    <w:p w14:paraId="5F40A631">
      <w:pPr>
        <w:pStyle w:val="47"/>
        <w:ind w:firstLine="480"/>
        <w:rPr>
          <w:color w:val="auto"/>
        </w:rPr>
        <w:sectPr>
          <w:pgSz w:w="11906" w:h="16838"/>
          <w:pgMar w:top="1701" w:right="1417" w:bottom="1701" w:left="1417" w:header="851" w:footer="851" w:gutter="0"/>
          <w:cols w:space="720" w:num="1"/>
          <w:docGrid w:linePitch="312" w:charSpace="0"/>
        </w:sectPr>
      </w:pPr>
      <w:bookmarkStart w:id="93" w:name="_Toc76138559"/>
    </w:p>
    <w:p w14:paraId="4BD90A5D">
      <w:pPr>
        <w:pStyle w:val="2"/>
        <w:spacing w:line="240" w:lineRule="auto"/>
        <w:rPr>
          <w:color w:val="auto"/>
        </w:rPr>
      </w:pPr>
      <w:bookmarkStart w:id="94" w:name="_Toc17075"/>
      <w:r>
        <w:rPr>
          <w:color w:val="auto"/>
        </w:rPr>
        <w:t>六、结论</w:t>
      </w:r>
      <w:bookmarkEnd w:id="93"/>
      <w:bookmarkEnd w:id="94"/>
    </w:p>
    <w:tbl>
      <w:tblPr>
        <w:tblStyle w:val="15"/>
        <w:tblW w:w="95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524"/>
      </w:tblGrid>
      <w:tr w14:paraId="27530B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tcBorders>
              <w:top w:val="single" w:color="auto" w:sz="8" w:space="0"/>
              <w:left w:val="single" w:color="auto" w:sz="8" w:space="0"/>
              <w:bottom w:val="single" w:color="auto" w:sz="8" w:space="0"/>
              <w:right w:val="single" w:color="auto" w:sz="8" w:space="0"/>
            </w:tcBorders>
            <w:shd w:val="clear" w:color="auto" w:fill="auto"/>
            <w:vAlign w:val="center"/>
          </w:tcPr>
          <w:p w14:paraId="589A80A5">
            <w:pPr>
              <w:pStyle w:val="47"/>
              <w:ind w:firstLine="480" w:firstLineChars="0"/>
              <w:rPr>
                <w:rFonts w:hint="eastAsia"/>
                <w:color w:val="auto"/>
              </w:rPr>
            </w:pPr>
            <w:r>
              <w:rPr>
                <w:rFonts w:hint="eastAsia"/>
                <w:color w:val="auto"/>
              </w:rPr>
              <w:t>江苏屹能纺织科技有限公司年产1.2亿米化纤面料项目拟建于江苏省宿迁市泗阳县新袁镇广州路28号。经分析论证后认为，本项目的建设符合国家和地方产业政策、符合“三线一单”的控制要求；项目采取的污染防治措施可行可靠，可有效实现污染物达标排放，总体上对评价区域环境影响较小，不会降低区域的环境功能区划的要求；项目各类固废能够妥善处置；项目环境风险在可接受范围内；项目的实施将带来一定的社会效益和经济效益。</w:t>
            </w:r>
          </w:p>
          <w:p w14:paraId="646B5D1B">
            <w:pPr>
              <w:pStyle w:val="47"/>
              <w:ind w:firstLine="480" w:firstLineChars="0"/>
              <w:rPr>
                <w:color w:val="auto"/>
              </w:rPr>
            </w:pPr>
            <w:r>
              <w:rPr>
                <w:rFonts w:hint="eastAsia"/>
                <w:color w:val="auto"/>
              </w:rPr>
              <w:t>总体来看，在落实各项环境保护对策措施和环境管理要求、加强风险防范措施的前提下，从环保角度论证，本项目在拟建地建设是可行的。</w:t>
            </w:r>
          </w:p>
          <w:p w14:paraId="08718521">
            <w:pPr>
              <w:pStyle w:val="47"/>
              <w:ind w:firstLine="480"/>
              <w:rPr>
                <w:color w:val="auto"/>
              </w:rPr>
            </w:pPr>
          </w:p>
          <w:p w14:paraId="1587AFB1">
            <w:pPr>
              <w:pStyle w:val="47"/>
              <w:ind w:firstLine="480"/>
              <w:rPr>
                <w:color w:val="auto"/>
              </w:rPr>
            </w:pPr>
          </w:p>
          <w:p w14:paraId="132DF8E4">
            <w:pPr>
              <w:pStyle w:val="47"/>
              <w:ind w:firstLine="480"/>
              <w:rPr>
                <w:color w:val="auto"/>
              </w:rPr>
            </w:pPr>
          </w:p>
          <w:p w14:paraId="32CC4A48">
            <w:pPr>
              <w:pStyle w:val="47"/>
              <w:ind w:firstLine="480"/>
              <w:rPr>
                <w:color w:val="auto"/>
              </w:rPr>
            </w:pPr>
          </w:p>
          <w:p w14:paraId="46A9FB99">
            <w:pPr>
              <w:pStyle w:val="47"/>
              <w:ind w:firstLine="480"/>
              <w:rPr>
                <w:color w:val="auto"/>
              </w:rPr>
            </w:pPr>
          </w:p>
          <w:p w14:paraId="4F2C6AEF">
            <w:pPr>
              <w:pStyle w:val="47"/>
              <w:ind w:firstLine="480"/>
              <w:rPr>
                <w:color w:val="auto"/>
              </w:rPr>
            </w:pPr>
          </w:p>
          <w:p w14:paraId="4A92E21F">
            <w:pPr>
              <w:pStyle w:val="47"/>
              <w:ind w:firstLine="480"/>
              <w:rPr>
                <w:color w:val="auto"/>
              </w:rPr>
            </w:pPr>
          </w:p>
          <w:p w14:paraId="54909D59">
            <w:pPr>
              <w:pStyle w:val="47"/>
              <w:ind w:firstLine="480"/>
              <w:rPr>
                <w:color w:val="auto"/>
              </w:rPr>
            </w:pPr>
          </w:p>
          <w:p w14:paraId="103149C3">
            <w:pPr>
              <w:pStyle w:val="47"/>
              <w:ind w:firstLine="480"/>
              <w:rPr>
                <w:color w:val="auto"/>
              </w:rPr>
            </w:pPr>
          </w:p>
          <w:p w14:paraId="79F6CD20">
            <w:pPr>
              <w:pStyle w:val="47"/>
              <w:ind w:firstLine="480"/>
              <w:rPr>
                <w:color w:val="auto"/>
              </w:rPr>
            </w:pPr>
          </w:p>
          <w:p w14:paraId="5A617375">
            <w:pPr>
              <w:pStyle w:val="47"/>
              <w:ind w:firstLine="480"/>
              <w:rPr>
                <w:color w:val="auto"/>
              </w:rPr>
            </w:pPr>
          </w:p>
          <w:p w14:paraId="57DBCE2D">
            <w:pPr>
              <w:pStyle w:val="47"/>
              <w:ind w:firstLine="480"/>
              <w:rPr>
                <w:color w:val="auto"/>
              </w:rPr>
            </w:pPr>
          </w:p>
          <w:p w14:paraId="559EE27D">
            <w:pPr>
              <w:pStyle w:val="47"/>
              <w:ind w:firstLine="480"/>
              <w:rPr>
                <w:color w:val="auto"/>
              </w:rPr>
            </w:pPr>
          </w:p>
          <w:p w14:paraId="13AC9C14">
            <w:pPr>
              <w:pStyle w:val="47"/>
              <w:ind w:firstLine="480"/>
              <w:rPr>
                <w:color w:val="auto"/>
              </w:rPr>
            </w:pPr>
          </w:p>
          <w:p w14:paraId="09A185E3">
            <w:pPr>
              <w:pStyle w:val="47"/>
              <w:ind w:firstLine="480"/>
              <w:rPr>
                <w:color w:val="auto"/>
              </w:rPr>
            </w:pPr>
          </w:p>
          <w:p w14:paraId="6C71FEA8">
            <w:pPr>
              <w:pStyle w:val="47"/>
              <w:ind w:firstLine="480"/>
              <w:rPr>
                <w:color w:val="auto"/>
              </w:rPr>
            </w:pPr>
          </w:p>
          <w:p w14:paraId="3D45A19F">
            <w:pPr>
              <w:pStyle w:val="47"/>
              <w:ind w:firstLine="480"/>
              <w:rPr>
                <w:color w:val="auto"/>
              </w:rPr>
            </w:pPr>
          </w:p>
          <w:p w14:paraId="2EDA5338">
            <w:pPr>
              <w:pStyle w:val="47"/>
              <w:ind w:firstLine="480"/>
              <w:rPr>
                <w:color w:val="auto"/>
              </w:rPr>
            </w:pPr>
          </w:p>
          <w:p w14:paraId="03954F62">
            <w:pPr>
              <w:pStyle w:val="47"/>
              <w:ind w:firstLine="480"/>
              <w:rPr>
                <w:color w:val="auto"/>
              </w:rPr>
            </w:pPr>
          </w:p>
          <w:p w14:paraId="24B29CB1">
            <w:pPr>
              <w:pStyle w:val="47"/>
              <w:ind w:firstLine="480"/>
              <w:rPr>
                <w:color w:val="auto"/>
              </w:rPr>
            </w:pPr>
          </w:p>
          <w:p w14:paraId="25489B99">
            <w:pPr>
              <w:pStyle w:val="47"/>
              <w:ind w:firstLine="480"/>
              <w:rPr>
                <w:color w:val="auto"/>
              </w:rPr>
            </w:pPr>
          </w:p>
          <w:p w14:paraId="35B2A94D">
            <w:pPr>
              <w:pStyle w:val="47"/>
              <w:ind w:firstLine="480"/>
              <w:rPr>
                <w:color w:val="auto"/>
              </w:rPr>
            </w:pPr>
          </w:p>
        </w:tc>
      </w:tr>
      <w:bookmarkEnd w:id="92"/>
    </w:tbl>
    <w:p w14:paraId="0ECF2891">
      <w:pPr>
        <w:rPr>
          <w:color w:val="auto"/>
        </w:rPr>
        <w:sectPr>
          <w:pgSz w:w="11906" w:h="16838"/>
          <w:pgMar w:top="1701" w:right="1417" w:bottom="1701" w:left="1417" w:header="851" w:footer="851" w:gutter="0"/>
          <w:cols w:space="720" w:num="1"/>
          <w:docGrid w:linePitch="312" w:charSpace="0"/>
        </w:sectPr>
      </w:pPr>
    </w:p>
    <w:p w14:paraId="39395912">
      <w:pPr>
        <w:pStyle w:val="2"/>
        <w:spacing w:line="240" w:lineRule="auto"/>
        <w:rPr>
          <w:color w:val="auto"/>
        </w:rPr>
      </w:pPr>
      <w:bookmarkStart w:id="95" w:name="_Toc18646"/>
      <w:bookmarkStart w:id="96" w:name="_Toc8760"/>
      <w:r>
        <w:rPr>
          <w:color w:val="auto"/>
        </w:rPr>
        <w:t>建设项目污染物排放量汇总表</w:t>
      </w:r>
      <w:bookmarkEnd w:id="95"/>
      <w:bookmarkEnd w:id="96"/>
    </w:p>
    <w:tbl>
      <w:tblPr>
        <w:tblStyle w:val="15"/>
        <w:tblW w:w="5000" w:type="pct"/>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918"/>
        <w:gridCol w:w="1472"/>
        <w:gridCol w:w="1455"/>
        <w:gridCol w:w="1021"/>
        <w:gridCol w:w="1439"/>
        <w:gridCol w:w="1679"/>
        <w:gridCol w:w="1283"/>
        <w:gridCol w:w="2224"/>
        <w:gridCol w:w="1123"/>
      </w:tblGrid>
      <w:tr w14:paraId="54CC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tcBorders>
              <w:tl2br w:val="single" w:color="auto" w:sz="4" w:space="0"/>
            </w:tcBorders>
            <w:tcMar>
              <w:left w:w="28" w:type="dxa"/>
              <w:right w:w="28" w:type="dxa"/>
            </w:tcMar>
            <w:vAlign w:val="center"/>
          </w:tcPr>
          <w:p w14:paraId="721E901B">
            <w:pPr>
              <w:pStyle w:val="49"/>
              <w:jc w:val="right"/>
              <w:rPr>
                <w:color w:val="auto"/>
              </w:rPr>
            </w:pPr>
            <w:r>
              <w:rPr>
                <w:color w:val="auto"/>
              </w:rPr>
              <w:t xml:space="preserve">   项目</w:t>
            </w:r>
          </w:p>
          <w:p w14:paraId="2574C574">
            <w:pPr>
              <w:pStyle w:val="49"/>
              <w:rPr>
                <w:color w:val="auto"/>
              </w:rPr>
            </w:pPr>
          </w:p>
          <w:p w14:paraId="34BABDF7">
            <w:pPr>
              <w:pStyle w:val="49"/>
              <w:jc w:val="left"/>
              <w:rPr>
                <w:color w:val="auto"/>
              </w:rPr>
            </w:pPr>
            <w:r>
              <w:rPr>
                <w:color w:val="auto"/>
              </w:rPr>
              <w:t>分类</w:t>
            </w:r>
          </w:p>
        </w:tc>
        <w:tc>
          <w:tcPr>
            <w:tcW w:w="885" w:type="pct"/>
            <w:gridSpan w:val="2"/>
            <w:tcMar>
              <w:left w:w="28" w:type="dxa"/>
              <w:right w:w="28" w:type="dxa"/>
            </w:tcMar>
            <w:vAlign w:val="center"/>
          </w:tcPr>
          <w:p w14:paraId="123E0C06">
            <w:pPr>
              <w:pStyle w:val="49"/>
              <w:rPr>
                <w:color w:val="auto"/>
              </w:rPr>
            </w:pPr>
            <w:r>
              <w:rPr>
                <w:color w:val="auto"/>
              </w:rPr>
              <w:t>污染物名称</w:t>
            </w:r>
          </w:p>
        </w:tc>
        <w:tc>
          <w:tcPr>
            <w:tcW w:w="539" w:type="pct"/>
            <w:tcMar>
              <w:left w:w="28" w:type="dxa"/>
              <w:right w:w="28" w:type="dxa"/>
            </w:tcMar>
            <w:vAlign w:val="center"/>
          </w:tcPr>
          <w:p w14:paraId="47C085DD">
            <w:pPr>
              <w:pStyle w:val="49"/>
              <w:rPr>
                <w:color w:val="auto"/>
              </w:rPr>
            </w:pPr>
            <w:r>
              <w:rPr>
                <w:color w:val="auto"/>
              </w:rPr>
              <w:t>现有工程</w:t>
            </w:r>
          </w:p>
          <w:p w14:paraId="2E9EA4D1">
            <w:pPr>
              <w:pStyle w:val="49"/>
              <w:rPr>
                <w:color w:val="auto"/>
              </w:rPr>
            </w:pPr>
            <w:r>
              <w:rPr>
                <w:color w:val="auto"/>
              </w:rPr>
              <w:t>排放量（固体废物产生量）</w:t>
            </w:r>
            <w:r>
              <w:rPr>
                <w:color w:val="auto"/>
              </w:rPr>
              <w:fldChar w:fldCharType="begin"/>
            </w:r>
            <w:r>
              <w:rPr>
                <w:color w:val="auto"/>
              </w:rPr>
              <w:instrText xml:space="preserve"> = 1 \* GB3 \* MERGEFORMAT </w:instrText>
            </w:r>
            <w:r>
              <w:rPr>
                <w:color w:val="auto"/>
              </w:rPr>
              <w:fldChar w:fldCharType="separate"/>
            </w:r>
            <w:r>
              <w:rPr>
                <w:color w:val="auto"/>
              </w:rPr>
              <w:t>①</w:t>
            </w:r>
            <w:r>
              <w:rPr>
                <w:color w:val="auto"/>
              </w:rPr>
              <w:fldChar w:fldCharType="end"/>
            </w:r>
          </w:p>
        </w:tc>
        <w:tc>
          <w:tcPr>
            <w:tcW w:w="378" w:type="pct"/>
            <w:tcMar>
              <w:left w:w="28" w:type="dxa"/>
              <w:right w:w="28" w:type="dxa"/>
            </w:tcMar>
            <w:vAlign w:val="center"/>
          </w:tcPr>
          <w:p w14:paraId="5E32DCAF">
            <w:pPr>
              <w:pStyle w:val="49"/>
              <w:rPr>
                <w:color w:val="auto"/>
              </w:rPr>
            </w:pPr>
            <w:r>
              <w:rPr>
                <w:color w:val="auto"/>
              </w:rPr>
              <w:t>现有工程</w:t>
            </w:r>
          </w:p>
          <w:p w14:paraId="434FD0F2">
            <w:pPr>
              <w:pStyle w:val="49"/>
              <w:rPr>
                <w:color w:val="auto"/>
              </w:rPr>
            </w:pPr>
            <w:r>
              <w:rPr>
                <w:color w:val="auto"/>
              </w:rPr>
              <w:t>许可排放量</w:t>
            </w:r>
            <w:r>
              <w:rPr>
                <w:color w:val="auto"/>
              </w:rPr>
              <w:fldChar w:fldCharType="begin"/>
            </w:r>
            <w:r>
              <w:rPr>
                <w:color w:val="auto"/>
              </w:rPr>
              <w:instrText xml:space="preserve"> = 2 \* GB3 \* MERGEFORMAT </w:instrText>
            </w:r>
            <w:r>
              <w:rPr>
                <w:color w:val="auto"/>
              </w:rPr>
              <w:fldChar w:fldCharType="separate"/>
            </w:r>
            <w:r>
              <w:rPr>
                <w:color w:val="auto"/>
              </w:rPr>
              <w:t>②</w:t>
            </w:r>
            <w:r>
              <w:rPr>
                <w:color w:val="auto"/>
              </w:rPr>
              <w:fldChar w:fldCharType="end"/>
            </w:r>
          </w:p>
        </w:tc>
        <w:tc>
          <w:tcPr>
            <w:tcW w:w="533" w:type="pct"/>
            <w:tcMar>
              <w:left w:w="28" w:type="dxa"/>
              <w:right w:w="28" w:type="dxa"/>
            </w:tcMar>
            <w:vAlign w:val="center"/>
          </w:tcPr>
          <w:p w14:paraId="1A3938B3">
            <w:pPr>
              <w:pStyle w:val="49"/>
              <w:rPr>
                <w:color w:val="auto"/>
              </w:rPr>
            </w:pPr>
            <w:r>
              <w:rPr>
                <w:color w:val="auto"/>
              </w:rPr>
              <w:t>在建工程</w:t>
            </w:r>
          </w:p>
          <w:p w14:paraId="23FF715B">
            <w:pPr>
              <w:pStyle w:val="49"/>
              <w:rPr>
                <w:color w:val="auto"/>
              </w:rPr>
            </w:pPr>
            <w:r>
              <w:rPr>
                <w:color w:val="auto"/>
              </w:rPr>
              <w:t>排放量（固体废物产生量）</w:t>
            </w:r>
            <w:r>
              <w:rPr>
                <w:color w:val="auto"/>
              </w:rPr>
              <w:fldChar w:fldCharType="begin"/>
            </w:r>
            <w:r>
              <w:rPr>
                <w:color w:val="auto"/>
              </w:rPr>
              <w:instrText xml:space="preserve"> = 3 \* GB3 \* MERGEFORMAT </w:instrText>
            </w:r>
            <w:r>
              <w:rPr>
                <w:color w:val="auto"/>
              </w:rPr>
              <w:fldChar w:fldCharType="separate"/>
            </w:r>
            <w:r>
              <w:rPr>
                <w:color w:val="auto"/>
              </w:rPr>
              <w:t>③</w:t>
            </w:r>
            <w:r>
              <w:rPr>
                <w:color w:val="auto"/>
              </w:rPr>
              <w:fldChar w:fldCharType="end"/>
            </w:r>
          </w:p>
        </w:tc>
        <w:tc>
          <w:tcPr>
            <w:tcW w:w="622" w:type="pct"/>
            <w:tcMar>
              <w:left w:w="28" w:type="dxa"/>
              <w:right w:w="28" w:type="dxa"/>
            </w:tcMar>
            <w:vAlign w:val="center"/>
          </w:tcPr>
          <w:p w14:paraId="7810BC2B">
            <w:pPr>
              <w:pStyle w:val="49"/>
              <w:rPr>
                <w:color w:val="auto"/>
              </w:rPr>
            </w:pPr>
            <w:r>
              <w:rPr>
                <w:color w:val="auto"/>
              </w:rPr>
              <w:t>本项目</w:t>
            </w:r>
          </w:p>
          <w:p w14:paraId="0AB5B60B">
            <w:pPr>
              <w:pStyle w:val="49"/>
              <w:rPr>
                <w:color w:val="auto"/>
              </w:rPr>
            </w:pPr>
            <w:r>
              <w:rPr>
                <w:color w:val="auto"/>
              </w:rPr>
              <w:t>排放量（固体废物产生量）</w:t>
            </w:r>
            <w:r>
              <w:rPr>
                <w:color w:val="auto"/>
              </w:rPr>
              <w:fldChar w:fldCharType="begin"/>
            </w:r>
            <w:r>
              <w:rPr>
                <w:color w:val="auto"/>
              </w:rPr>
              <w:instrText xml:space="preserve"> = 4 \* GB3 \* MERGEFORMAT </w:instrText>
            </w:r>
            <w:r>
              <w:rPr>
                <w:color w:val="auto"/>
              </w:rPr>
              <w:fldChar w:fldCharType="separate"/>
            </w:r>
            <w:r>
              <w:rPr>
                <w:color w:val="auto"/>
              </w:rPr>
              <w:t>④</w:t>
            </w:r>
            <w:r>
              <w:rPr>
                <w:color w:val="auto"/>
              </w:rPr>
              <w:fldChar w:fldCharType="end"/>
            </w:r>
            <w:r>
              <w:rPr>
                <w:color w:val="auto"/>
              </w:rPr>
              <w:t>（t/a）</w:t>
            </w:r>
          </w:p>
        </w:tc>
        <w:tc>
          <w:tcPr>
            <w:tcW w:w="475" w:type="pct"/>
            <w:tcMar>
              <w:left w:w="28" w:type="dxa"/>
              <w:right w:w="28" w:type="dxa"/>
            </w:tcMar>
            <w:vAlign w:val="center"/>
          </w:tcPr>
          <w:p w14:paraId="4C882410">
            <w:pPr>
              <w:pStyle w:val="49"/>
              <w:rPr>
                <w:color w:val="auto"/>
              </w:rPr>
            </w:pPr>
            <w:r>
              <w:rPr>
                <w:color w:val="auto"/>
              </w:rPr>
              <w:t>以新带老削减量（新建项目不填）</w:t>
            </w:r>
            <w:r>
              <w:rPr>
                <w:color w:val="auto"/>
              </w:rPr>
              <w:fldChar w:fldCharType="begin"/>
            </w:r>
            <w:r>
              <w:rPr>
                <w:color w:val="auto"/>
              </w:rPr>
              <w:instrText xml:space="preserve"> = 5 \* GB3 \* MERGEFORMAT </w:instrText>
            </w:r>
            <w:r>
              <w:rPr>
                <w:color w:val="auto"/>
              </w:rPr>
              <w:fldChar w:fldCharType="separate"/>
            </w:r>
            <w:r>
              <w:rPr>
                <w:color w:val="auto"/>
              </w:rPr>
              <w:t>⑤</w:t>
            </w:r>
            <w:r>
              <w:rPr>
                <w:color w:val="auto"/>
              </w:rPr>
              <w:fldChar w:fldCharType="end"/>
            </w:r>
          </w:p>
        </w:tc>
        <w:tc>
          <w:tcPr>
            <w:tcW w:w="824" w:type="pct"/>
            <w:tcMar>
              <w:left w:w="28" w:type="dxa"/>
              <w:right w:w="28" w:type="dxa"/>
            </w:tcMar>
            <w:vAlign w:val="center"/>
          </w:tcPr>
          <w:p w14:paraId="10872241">
            <w:pPr>
              <w:pStyle w:val="49"/>
              <w:rPr>
                <w:color w:val="auto"/>
              </w:rPr>
            </w:pPr>
            <w:r>
              <w:rPr>
                <w:color w:val="auto"/>
              </w:rPr>
              <w:t>本项目建成后</w:t>
            </w:r>
          </w:p>
          <w:p w14:paraId="697863A7">
            <w:pPr>
              <w:pStyle w:val="49"/>
              <w:rPr>
                <w:color w:val="auto"/>
              </w:rPr>
            </w:pPr>
            <w:r>
              <w:rPr>
                <w:color w:val="auto"/>
              </w:rPr>
              <w:t>全厂排放量（固体废物产生量）</w:t>
            </w:r>
            <w:r>
              <w:rPr>
                <w:color w:val="auto"/>
              </w:rPr>
              <w:fldChar w:fldCharType="begin"/>
            </w:r>
            <w:r>
              <w:rPr>
                <w:color w:val="auto"/>
              </w:rPr>
              <w:instrText xml:space="preserve"> = 6 \* GB3 \* MERGEFORMAT </w:instrText>
            </w:r>
            <w:r>
              <w:rPr>
                <w:color w:val="auto"/>
              </w:rPr>
              <w:fldChar w:fldCharType="separate"/>
            </w:r>
            <w:r>
              <w:rPr>
                <w:color w:val="auto"/>
              </w:rPr>
              <w:t>⑥</w:t>
            </w:r>
            <w:r>
              <w:rPr>
                <w:color w:val="auto"/>
              </w:rPr>
              <w:fldChar w:fldCharType="end"/>
            </w:r>
            <w:r>
              <w:rPr>
                <w:color w:val="auto"/>
              </w:rPr>
              <w:t>（t/a）</w:t>
            </w:r>
          </w:p>
        </w:tc>
        <w:tc>
          <w:tcPr>
            <w:tcW w:w="416" w:type="pct"/>
            <w:tcMar>
              <w:left w:w="28" w:type="dxa"/>
              <w:right w:w="28" w:type="dxa"/>
            </w:tcMar>
            <w:vAlign w:val="center"/>
          </w:tcPr>
          <w:p w14:paraId="297D97BB">
            <w:pPr>
              <w:pStyle w:val="49"/>
              <w:rPr>
                <w:color w:val="auto"/>
              </w:rPr>
            </w:pPr>
            <w:r>
              <w:rPr>
                <w:color w:val="auto"/>
              </w:rPr>
              <w:t>变化量</w:t>
            </w:r>
          </w:p>
          <w:p w14:paraId="2246BD36">
            <w:pPr>
              <w:pStyle w:val="49"/>
              <w:rPr>
                <w:color w:val="auto"/>
              </w:rPr>
            </w:pPr>
            <w:r>
              <w:rPr>
                <w:color w:val="auto"/>
              </w:rPr>
              <w:fldChar w:fldCharType="begin"/>
            </w:r>
            <w:r>
              <w:rPr>
                <w:color w:val="auto"/>
              </w:rPr>
              <w:instrText xml:space="preserve"> = 7 \* GB3 \* MERGEFORMAT </w:instrText>
            </w:r>
            <w:r>
              <w:rPr>
                <w:color w:val="auto"/>
              </w:rPr>
              <w:fldChar w:fldCharType="separate"/>
            </w:r>
            <w:r>
              <w:rPr>
                <w:color w:val="auto"/>
              </w:rPr>
              <w:t>⑦</w:t>
            </w:r>
            <w:r>
              <w:rPr>
                <w:color w:val="auto"/>
              </w:rPr>
              <w:fldChar w:fldCharType="end"/>
            </w:r>
            <w:r>
              <w:rPr>
                <w:color w:val="auto"/>
              </w:rPr>
              <w:t>（t/a）</w:t>
            </w:r>
          </w:p>
        </w:tc>
      </w:tr>
      <w:tr w14:paraId="55EC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25" w:type="pct"/>
            <w:vAlign w:val="center"/>
          </w:tcPr>
          <w:p w14:paraId="233838B4">
            <w:pPr>
              <w:pStyle w:val="51"/>
              <w:rPr>
                <w:color w:val="auto"/>
              </w:rPr>
            </w:pPr>
            <w:r>
              <w:rPr>
                <w:color w:val="auto"/>
              </w:rPr>
              <w:t>废气</w:t>
            </w:r>
          </w:p>
        </w:tc>
        <w:tc>
          <w:tcPr>
            <w:tcW w:w="885" w:type="pct"/>
            <w:gridSpan w:val="2"/>
            <w:vAlign w:val="center"/>
          </w:tcPr>
          <w:p w14:paraId="631AE29B">
            <w:pPr>
              <w:pStyle w:val="51"/>
              <w:rPr>
                <w:color w:val="auto"/>
              </w:rPr>
            </w:pPr>
            <w:r>
              <w:rPr>
                <w:rFonts w:hint="eastAsia"/>
                <w:color w:val="auto"/>
              </w:rPr>
              <w:t>非甲烷总烃</w:t>
            </w:r>
          </w:p>
        </w:tc>
        <w:tc>
          <w:tcPr>
            <w:tcW w:w="539" w:type="pct"/>
            <w:vAlign w:val="center"/>
          </w:tcPr>
          <w:p w14:paraId="10ADF2F1">
            <w:pPr>
              <w:pStyle w:val="51"/>
              <w:rPr>
                <w:color w:val="auto"/>
              </w:rPr>
            </w:pPr>
            <w:r>
              <w:rPr>
                <w:color w:val="auto"/>
              </w:rPr>
              <w:t>0</w:t>
            </w:r>
          </w:p>
        </w:tc>
        <w:tc>
          <w:tcPr>
            <w:tcW w:w="378" w:type="pct"/>
            <w:vAlign w:val="center"/>
          </w:tcPr>
          <w:p w14:paraId="2DBFDF85">
            <w:pPr>
              <w:pStyle w:val="51"/>
              <w:rPr>
                <w:color w:val="auto"/>
              </w:rPr>
            </w:pPr>
            <w:r>
              <w:rPr>
                <w:color w:val="auto"/>
              </w:rPr>
              <w:t>0</w:t>
            </w:r>
          </w:p>
        </w:tc>
        <w:tc>
          <w:tcPr>
            <w:tcW w:w="533" w:type="pct"/>
            <w:vAlign w:val="center"/>
          </w:tcPr>
          <w:p w14:paraId="2E6708B6">
            <w:pPr>
              <w:pStyle w:val="51"/>
              <w:rPr>
                <w:color w:val="auto"/>
              </w:rPr>
            </w:pPr>
            <w:r>
              <w:rPr>
                <w:color w:val="auto"/>
              </w:rPr>
              <w:t>0</w:t>
            </w:r>
          </w:p>
        </w:tc>
        <w:tc>
          <w:tcPr>
            <w:tcW w:w="622" w:type="pct"/>
            <w:shd w:val="clear" w:color="auto" w:fill="auto"/>
            <w:vAlign w:val="center"/>
          </w:tcPr>
          <w:p w14:paraId="7EF0BC1F">
            <w:pPr>
              <w:pStyle w:val="51"/>
              <w:rPr>
                <w:color w:val="auto"/>
              </w:rPr>
            </w:pPr>
            <w:r>
              <w:rPr>
                <w:rFonts w:hint="eastAsia"/>
                <w:color w:val="auto"/>
              </w:rPr>
              <w:t>0.776</w:t>
            </w:r>
          </w:p>
        </w:tc>
        <w:tc>
          <w:tcPr>
            <w:tcW w:w="475" w:type="pct"/>
            <w:vAlign w:val="center"/>
          </w:tcPr>
          <w:p w14:paraId="1F58875C">
            <w:pPr>
              <w:pStyle w:val="51"/>
              <w:rPr>
                <w:color w:val="auto"/>
              </w:rPr>
            </w:pPr>
            <w:r>
              <w:rPr>
                <w:color w:val="auto"/>
              </w:rPr>
              <w:t>0</w:t>
            </w:r>
          </w:p>
        </w:tc>
        <w:tc>
          <w:tcPr>
            <w:tcW w:w="824" w:type="pct"/>
            <w:vAlign w:val="center"/>
          </w:tcPr>
          <w:p w14:paraId="1F554839">
            <w:pPr>
              <w:pStyle w:val="51"/>
              <w:rPr>
                <w:color w:val="auto"/>
              </w:rPr>
            </w:pPr>
            <w:r>
              <w:rPr>
                <w:color w:val="auto"/>
              </w:rPr>
              <w:t>0</w:t>
            </w:r>
          </w:p>
        </w:tc>
        <w:tc>
          <w:tcPr>
            <w:tcW w:w="416" w:type="pct"/>
            <w:vAlign w:val="center"/>
          </w:tcPr>
          <w:p w14:paraId="79917493">
            <w:pPr>
              <w:pStyle w:val="51"/>
              <w:rPr>
                <w:color w:val="auto"/>
              </w:rPr>
            </w:pPr>
            <w:r>
              <w:rPr>
                <w:color w:val="auto"/>
              </w:rPr>
              <w:t>+</w:t>
            </w:r>
            <w:r>
              <w:rPr>
                <w:rFonts w:hint="eastAsia"/>
                <w:color w:val="auto"/>
              </w:rPr>
              <w:t>0.776</w:t>
            </w:r>
          </w:p>
        </w:tc>
      </w:tr>
      <w:tr w14:paraId="338D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vMerge w:val="restart"/>
            <w:vAlign w:val="center"/>
          </w:tcPr>
          <w:p w14:paraId="1E94D129">
            <w:pPr>
              <w:pStyle w:val="51"/>
              <w:rPr>
                <w:color w:val="auto"/>
              </w:rPr>
            </w:pPr>
            <w:r>
              <w:rPr>
                <w:color w:val="auto"/>
              </w:rPr>
              <w:t>废水</w:t>
            </w:r>
          </w:p>
        </w:tc>
        <w:tc>
          <w:tcPr>
            <w:tcW w:w="885" w:type="pct"/>
            <w:gridSpan w:val="2"/>
            <w:vAlign w:val="center"/>
          </w:tcPr>
          <w:p w14:paraId="546EAE11">
            <w:pPr>
              <w:pStyle w:val="51"/>
              <w:rPr>
                <w:color w:val="auto"/>
              </w:rPr>
            </w:pPr>
            <w:r>
              <w:rPr>
                <w:color w:val="auto"/>
              </w:rPr>
              <w:t>废水量</w:t>
            </w:r>
          </w:p>
        </w:tc>
        <w:tc>
          <w:tcPr>
            <w:tcW w:w="539" w:type="pct"/>
            <w:vAlign w:val="center"/>
          </w:tcPr>
          <w:p w14:paraId="56A25F89">
            <w:pPr>
              <w:pStyle w:val="51"/>
              <w:rPr>
                <w:color w:val="auto"/>
              </w:rPr>
            </w:pPr>
            <w:r>
              <w:rPr>
                <w:color w:val="auto"/>
              </w:rPr>
              <w:t>0</w:t>
            </w:r>
          </w:p>
        </w:tc>
        <w:tc>
          <w:tcPr>
            <w:tcW w:w="378" w:type="pct"/>
            <w:vAlign w:val="center"/>
          </w:tcPr>
          <w:p w14:paraId="600CEBD2">
            <w:pPr>
              <w:pStyle w:val="51"/>
              <w:rPr>
                <w:color w:val="auto"/>
              </w:rPr>
            </w:pPr>
            <w:r>
              <w:rPr>
                <w:color w:val="auto"/>
              </w:rPr>
              <w:t>0</w:t>
            </w:r>
          </w:p>
        </w:tc>
        <w:tc>
          <w:tcPr>
            <w:tcW w:w="533" w:type="pct"/>
            <w:vAlign w:val="center"/>
          </w:tcPr>
          <w:p w14:paraId="35F7CD27">
            <w:pPr>
              <w:pStyle w:val="51"/>
              <w:rPr>
                <w:color w:val="auto"/>
              </w:rPr>
            </w:pPr>
            <w:r>
              <w:rPr>
                <w:color w:val="auto"/>
              </w:rPr>
              <w:t>0</w:t>
            </w:r>
          </w:p>
        </w:tc>
        <w:tc>
          <w:tcPr>
            <w:tcW w:w="622" w:type="pct"/>
            <w:vAlign w:val="center"/>
          </w:tcPr>
          <w:p w14:paraId="66E70D16">
            <w:pPr>
              <w:pStyle w:val="51"/>
              <w:rPr>
                <w:color w:val="auto"/>
              </w:rPr>
            </w:pPr>
            <w:r>
              <w:rPr>
                <w:rFonts w:hint="eastAsia"/>
                <w:color w:val="auto"/>
              </w:rPr>
              <w:t>2400</w:t>
            </w:r>
          </w:p>
        </w:tc>
        <w:tc>
          <w:tcPr>
            <w:tcW w:w="475" w:type="pct"/>
            <w:vAlign w:val="center"/>
          </w:tcPr>
          <w:p w14:paraId="7AF4DB28">
            <w:pPr>
              <w:pStyle w:val="51"/>
              <w:rPr>
                <w:color w:val="auto"/>
              </w:rPr>
            </w:pPr>
            <w:r>
              <w:rPr>
                <w:color w:val="auto"/>
              </w:rPr>
              <w:t>0</w:t>
            </w:r>
          </w:p>
        </w:tc>
        <w:tc>
          <w:tcPr>
            <w:tcW w:w="824" w:type="pct"/>
            <w:vAlign w:val="center"/>
          </w:tcPr>
          <w:p w14:paraId="34C44F08">
            <w:pPr>
              <w:pStyle w:val="51"/>
              <w:rPr>
                <w:color w:val="auto"/>
              </w:rPr>
            </w:pPr>
            <w:r>
              <w:rPr>
                <w:color w:val="auto"/>
              </w:rPr>
              <w:t>0</w:t>
            </w:r>
          </w:p>
        </w:tc>
        <w:tc>
          <w:tcPr>
            <w:tcW w:w="416" w:type="pct"/>
            <w:vAlign w:val="center"/>
          </w:tcPr>
          <w:p w14:paraId="16999850">
            <w:pPr>
              <w:pStyle w:val="51"/>
              <w:rPr>
                <w:color w:val="auto"/>
              </w:rPr>
            </w:pPr>
            <w:r>
              <w:rPr>
                <w:color w:val="auto"/>
              </w:rPr>
              <w:t>+</w:t>
            </w:r>
            <w:r>
              <w:rPr>
                <w:rFonts w:hint="eastAsia"/>
                <w:color w:val="auto"/>
              </w:rPr>
              <w:t>2400</w:t>
            </w:r>
          </w:p>
        </w:tc>
      </w:tr>
      <w:tr w14:paraId="7453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25" w:type="pct"/>
            <w:vMerge w:val="continue"/>
            <w:vAlign w:val="center"/>
          </w:tcPr>
          <w:p w14:paraId="56DED3EA">
            <w:pPr>
              <w:pStyle w:val="51"/>
              <w:rPr>
                <w:color w:val="auto"/>
              </w:rPr>
            </w:pPr>
          </w:p>
        </w:tc>
        <w:tc>
          <w:tcPr>
            <w:tcW w:w="885" w:type="pct"/>
            <w:gridSpan w:val="2"/>
            <w:vAlign w:val="center"/>
          </w:tcPr>
          <w:p w14:paraId="502046F6">
            <w:pPr>
              <w:pStyle w:val="51"/>
              <w:rPr>
                <w:color w:val="auto"/>
              </w:rPr>
            </w:pPr>
            <w:r>
              <w:rPr>
                <w:color w:val="auto"/>
              </w:rPr>
              <w:t>COD</w:t>
            </w:r>
          </w:p>
        </w:tc>
        <w:tc>
          <w:tcPr>
            <w:tcW w:w="539" w:type="pct"/>
            <w:vAlign w:val="center"/>
          </w:tcPr>
          <w:p w14:paraId="32E521F0">
            <w:pPr>
              <w:pStyle w:val="51"/>
              <w:rPr>
                <w:color w:val="auto"/>
              </w:rPr>
            </w:pPr>
            <w:r>
              <w:rPr>
                <w:color w:val="auto"/>
              </w:rPr>
              <w:t>0</w:t>
            </w:r>
          </w:p>
        </w:tc>
        <w:tc>
          <w:tcPr>
            <w:tcW w:w="378" w:type="pct"/>
            <w:vAlign w:val="center"/>
          </w:tcPr>
          <w:p w14:paraId="64FF6E19">
            <w:pPr>
              <w:pStyle w:val="51"/>
              <w:rPr>
                <w:color w:val="auto"/>
              </w:rPr>
            </w:pPr>
            <w:r>
              <w:rPr>
                <w:color w:val="auto"/>
              </w:rPr>
              <w:t>0</w:t>
            </w:r>
          </w:p>
        </w:tc>
        <w:tc>
          <w:tcPr>
            <w:tcW w:w="533" w:type="pct"/>
            <w:vAlign w:val="center"/>
          </w:tcPr>
          <w:p w14:paraId="08E08893">
            <w:pPr>
              <w:pStyle w:val="51"/>
              <w:rPr>
                <w:color w:val="auto"/>
              </w:rPr>
            </w:pPr>
            <w:r>
              <w:rPr>
                <w:color w:val="auto"/>
              </w:rPr>
              <w:t>0</w:t>
            </w:r>
          </w:p>
        </w:tc>
        <w:tc>
          <w:tcPr>
            <w:tcW w:w="622" w:type="pct"/>
            <w:vAlign w:val="center"/>
          </w:tcPr>
          <w:p w14:paraId="21CDCDC2">
            <w:pPr>
              <w:pStyle w:val="51"/>
              <w:rPr>
                <w:color w:val="auto"/>
              </w:rPr>
            </w:pPr>
            <w:r>
              <w:rPr>
                <w:color w:val="auto"/>
              </w:rPr>
              <w:t xml:space="preserve">0.6720 </w:t>
            </w:r>
          </w:p>
        </w:tc>
        <w:tc>
          <w:tcPr>
            <w:tcW w:w="475" w:type="pct"/>
            <w:vAlign w:val="center"/>
          </w:tcPr>
          <w:p w14:paraId="2396C16F">
            <w:pPr>
              <w:pStyle w:val="51"/>
              <w:rPr>
                <w:color w:val="auto"/>
              </w:rPr>
            </w:pPr>
            <w:r>
              <w:rPr>
                <w:color w:val="auto"/>
              </w:rPr>
              <w:t>0</w:t>
            </w:r>
          </w:p>
        </w:tc>
        <w:tc>
          <w:tcPr>
            <w:tcW w:w="824" w:type="pct"/>
            <w:vAlign w:val="center"/>
          </w:tcPr>
          <w:p w14:paraId="19FA58C4">
            <w:pPr>
              <w:pStyle w:val="51"/>
              <w:rPr>
                <w:color w:val="auto"/>
              </w:rPr>
            </w:pPr>
            <w:r>
              <w:rPr>
                <w:color w:val="auto"/>
              </w:rPr>
              <w:t>0</w:t>
            </w:r>
          </w:p>
        </w:tc>
        <w:tc>
          <w:tcPr>
            <w:tcW w:w="416" w:type="pct"/>
            <w:vAlign w:val="center"/>
          </w:tcPr>
          <w:p w14:paraId="113D4292">
            <w:pPr>
              <w:pStyle w:val="51"/>
              <w:rPr>
                <w:color w:val="auto"/>
              </w:rPr>
            </w:pPr>
            <w:r>
              <w:rPr>
                <w:rFonts w:hint="eastAsia"/>
                <w:color w:val="auto"/>
              </w:rPr>
              <w:t>+</w:t>
            </w:r>
            <w:r>
              <w:rPr>
                <w:color w:val="auto"/>
              </w:rPr>
              <w:t xml:space="preserve">0.6720 </w:t>
            </w:r>
          </w:p>
        </w:tc>
      </w:tr>
      <w:tr w14:paraId="1030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vMerge w:val="continue"/>
            <w:vAlign w:val="center"/>
          </w:tcPr>
          <w:p w14:paraId="3BA9FF79">
            <w:pPr>
              <w:pStyle w:val="51"/>
              <w:rPr>
                <w:color w:val="auto"/>
              </w:rPr>
            </w:pPr>
          </w:p>
        </w:tc>
        <w:tc>
          <w:tcPr>
            <w:tcW w:w="885" w:type="pct"/>
            <w:gridSpan w:val="2"/>
            <w:vAlign w:val="center"/>
          </w:tcPr>
          <w:p w14:paraId="40092D9B">
            <w:pPr>
              <w:pStyle w:val="51"/>
              <w:rPr>
                <w:color w:val="auto"/>
              </w:rPr>
            </w:pPr>
            <w:r>
              <w:rPr>
                <w:color w:val="auto"/>
              </w:rPr>
              <w:t>SS</w:t>
            </w:r>
          </w:p>
        </w:tc>
        <w:tc>
          <w:tcPr>
            <w:tcW w:w="539" w:type="pct"/>
            <w:vAlign w:val="center"/>
          </w:tcPr>
          <w:p w14:paraId="38BCC609">
            <w:pPr>
              <w:pStyle w:val="51"/>
              <w:rPr>
                <w:color w:val="auto"/>
              </w:rPr>
            </w:pPr>
            <w:r>
              <w:rPr>
                <w:color w:val="auto"/>
              </w:rPr>
              <w:t>0</w:t>
            </w:r>
          </w:p>
        </w:tc>
        <w:tc>
          <w:tcPr>
            <w:tcW w:w="378" w:type="pct"/>
            <w:vAlign w:val="center"/>
          </w:tcPr>
          <w:p w14:paraId="4A60EFF8">
            <w:pPr>
              <w:pStyle w:val="51"/>
              <w:rPr>
                <w:color w:val="auto"/>
              </w:rPr>
            </w:pPr>
            <w:r>
              <w:rPr>
                <w:color w:val="auto"/>
              </w:rPr>
              <w:t>0</w:t>
            </w:r>
          </w:p>
        </w:tc>
        <w:tc>
          <w:tcPr>
            <w:tcW w:w="533" w:type="pct"/>
            <w:vAlign w:val="center"/>
          </w:tcPr>
          <w:p w14:paraId="2653789C">
            <w:pPr>
              <w:pStyle w:val="51"/>
              <w:rPr>
                <w:color w:val="auto"/>
              </w:rPr>
            </w:pPr>
            <w:r>
              <w:rPr>
                <w:color w:val="auto"/>
              </w:rPr>
              <w:t>0</w:t>
            </w:r>
          </w:p>
        </w:tc>
        <w:tc>
          <w:tcPr>
            <w:tcW w:w="622" w:type="pct"/>
            <w:vAlign w:val="center"/>
          </w:tcPr>
          <w:p w14:paraId="321DBDDE">
            <w:pPr>
              <w:pStyle w:val="51"/>
              <w:rPr>
                <w:color w:val="auto"/>
              </w:rPr>
            </w:pPr>
            <w:r>
              <w:rPr>
                <w:color w:val="auto"/>
              </w:rPr>
              <w:t xml:space="preserve">0.3600 </w:t>
            </w:r>
          </w:p>
        </w:tc>
        <w:tc>
          <w:tcPr>
            <w:tcW w:w="475" w:type="pct"/>
            <w:vAlign w:val="center"/>
          </w:tcPr>
          <w:p w14:paraId="30076D20">
            <w:pPr>
              <w:pStyle w:val="51"/>
              <w:rPr>
                <w:color w:val="auto"/>
              </w:rPr>
            </w:pPr>
            <w:r>
              <w:rPr>
                <w:color w:val="auto"/>
              </w:rPr>
              <w:t>0</w:t>
            </w:r>
          </w:p>
        </w:tc>
        <w:tc>
          <w:tcPr>
            <w:tcW w:w="824" w:type="pct"/>
            <w:vAlign w:val="center"/>
          </w:tcPr>
          <w:p w14:paraId="2A02111A">
            <w:pPr>
              <w:pStyle w:val="51"/>
              <w:rPr>
                <w:color w:val="auto"/>
              </w:rPr>
            </w:pPr>
            <w:r>
              <w:rPr>
                <w:color w:val="auto"/>
              </w:rPr>
              <w:t>0</w:t>
            </w:r>
          </w:p>
        </w:tc>
        <w:tc>
          <w:tcPr>
            <w:tcW w:w="416" w:type="pct"/>
            <w:vAlign w:val="center"/>
          </w:tcPr>
          <w:p w14:paraId="7952FD86">
            <w:pPr>
              <w:pStyle w:val="51"/>
              <w:rPr>
                <w:color w:val="auto"/>
              </w:rPr>
            </w:pPr>
            <w:r>
              <w:rPr>
                <w:rFonts w:hint="eastAsia"/>
                <w:color w:val="auto"/>
              </w:rPr>
              <w:t>+</w:t>
            </w:r>
            <w:r>
              <w:rPr>
                <w:color w:val="auto"/>
              </w:rPr>
              <w:t xml:space="preserve">0.3600 </w:t>
            </w:r>
          </w:p>
        </w:tc>
      </w:tr>
      <w:tr w14:paraId="39F6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vMerge w:val="continue"/>
            <w:vAlign w:val="center"/>
          </w:tcPr>
          <w:p w14:paraId="5EF413E2">
            <w:pPr>
              <w:pStyle w:val="51"/>
              <w:rPr>
                <w:color w:val="auto"/>
              </w:rPr>
            </w:pPr>
          </w:p>
        </w:tc>
        <w:tc>
          <w:tcPr>
            <w:tcW w:w="885" w:type="pct"/>
            <w:gridSpan w:val="2"/>
            <w:vAlign w:val="center"/>
          </w:tcPr>
          <w:p w14:paraId="135169C9">
            <w:pPr>
              <w:pStyle w:val="51"/>
              <w:rPr>
                <w:color w:val="auto"/>
              </w:rPr>
            </w:pPr>
            <w:r>
              <w:rPr>
                <w:color w:val="auto"/>
              </w:rPr>
              <w:t>氨氮</w:t>
            </w:r>
          </w:p>
        </w:tc>
        <w:tc>
          <w:tcPr>
            <w:tcW w:w="539" w:type="pct"/>
            <w:vAlign w:val="center"/>
          </w:tcPr>
          <w:p w14:paraId="054BEA17">
            <w:pPr>
              <w:pStyle w:val="51"/>
              <w:rPr>
                <w:color w:val="auto"/>
              </w:rPr>
            </w:pPr>
            <w:r>
              <w:rPr>
                <w:color w:val="auto"/>
              </w:rPr>
              <w:t>0</w:t>
            </w:r>
          </w:p>
        </w:tc>
        <w:tc>
          <w:tcPr>
            <w:tcW w:w="378" w:type="pct"/>
            <w:vAlign w:val="center"/>
          </w:tcPr>
          <w:p w14:paraId="60BB8712">
            <w:pPr>
              <w:pStyle w:val="51"/>
              <w:rPr>
                <w:color w:val="auto"/>
              </w:rPr>
            </w:pPr>
            <w:r>
              <w:rPr>
                <w:color w:val="auto"/>
              </w:rPr>
              <w:t>0</w:t>
            </w:r>
          </w:p>
        </w:tc>
        <w:tc>
          <w:tcPr>
            <w:tcW w:w="533" w:type="pct"/>
            <w:vAlign w:val="center"/>
          </w:tcPr>
          <w:p w14:paraId="75DA0437">
            <w:pPr>
              <w:pStyle w:val="51"/>
              <w:rPr>
                <w:color w:val="auto"/>
              </w:rPr>
            </w:pPr>
            <w:r>
              <w:rPr>
                <w:color w:val="auto"/>
              </w:rPr>
              <w:t>0</w:t>
            </w:r>
          </w:p>
        </w:tc>
        <w:tc>
          <w:tcPr>
            <w:tcW w:w="622" w:type="pct"/>
            <w:vAlign w:val="center"/>
          </w:tcPr>
          <w:p w14:paraId="75030A06">
            <w:pPr>
              <w:pStyle w:val="51"/>
              <w:rPr>
                <w:color w:val="auto"/>
              </w:rPr>
            </w:pPr>
            <w:r>
              <w:rPr>
                <w:color w:val="auto"/>
              </w:rPr>
              <w:t xml:space="preserve">0.0840 </w:t>
            </w:r>
          </w:p>
        </w:tc>
        <w:tc>
          <w:tcPr>
            <w:tcW w:w="475" w:type="pct"/>
            <w:vAlign w:val="center"/>
          </w:tcPr>
          <w:p w14:paraId="7FE9470C">
            <w:pPr>
              <w:pStyle w:val="51"/>
              <w:rPr>
                <w:color w:val="auto"/>
              </w:rPr>
            </w:pPr>
            <w:r>
              <w:rPr>
                <w:color w:val="auto"/>
              </w:rPr>
              <w:t>0</w:t>
            </w:r>
          </w:p>
        </w:tc>
        <w:tc>
          <w:tcPr>
            <w:tcW w:w="824" w:type="pct"/>
            <w:vAlign w:val="center"/>
          </w:tcPr>
          <w:p w14:paraId="3B228746">
            <w:pPr>
              <w:pStyle w:val="51"/>
              <w:rPr>
                <w:color w:val="auto"/>
              </w:rPr>
            </w:pPr>
            <w:r>
              <w:rPr>
                <w:color w:val="auto"/>
              </w:rPr>
              <w:t>0</w:t>
            </w:r>
          </w:p>
        </w:tc>
        <w:tc>
          <w:tcPr>
            <w:tcW w:w="416" w:type="pct"/>
            <w:vAlign w:val="center"/>
          </w:tcPr>
          <w:p w14:paraId="650E232D">
            <w:pPr>
              <w:pStyle w:val="51"/>
              <w:rPr>
                <w:color w:val="auto"/>
              </w:rPr>
            </w:pPr>
            <w:r>
              <w:rPr>
                <w:color w:val="auto"/>
              </w:rPr>
              <w:t xml:space="preserve">0.0840 </w:t>
            </w:r>
          </w:p>
        </w:tc>
      </w:tr>
      <w:tr w14:paraId="47E5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vMerge w:val="continue"/>
            <w:vAlign w:val="center"/>
          </w:tcPr>
          <w:p w14:paraId="641DCAA1">
            <w:pPr>
              <w:pStyle w:val="51"/>
              <w:rPr>
                <w:color w:val="auto"/>
              </w:rPr>
            </w:pPr>
          </w:p>
        </w:tc>
        <w:tc>
          <w:tcPr>
            <w:tcW w:w="885" w:type="pct"/>
            <w:gridSpan w:val="2"/>
            <w:vAlign w:val="center"/>
          </w:tcPr>
          <w:p w14:paraId="606C44E0">
            <w:pPr>
              <w:pStyle w:val="51"/>
              <w:rPr>
                <w:color w:val="auto"/>
              </w:rPr>
            </w:pPr>
            <w:r>
              <w:rPr>
                <w:color w:val="auto"/>
              </w:rPr>
              <w:t>TN</w:t>
            </w:r>
          </w:p>
        </w:tc>
        <w:tc>
          <w:tcPr>
            <w:tcW w:w="539" w:type="pct"/>
            <w:vAlign w:val="center"/>
          </w:tcPr>
          <w:p w14:paraId="2F00C484">
            <w:pPr>
              <w:pStyle w:val="51"/>
              <w:rPr>
                <w:color w:val="auto"/>
              </w:rPr>
            </w:pPr>
            <w:r>
              <w:rPr>
                <w:color w:val="auto"/>
              </w:rPr>
              <w:t>0</w:t>
            </w:r>
          </w:p>
        </w:tc>
        <w:tc>
          <w:tcPr>
            <w:tcW w:w="378" w:type="pct"/>
            <w:vAlign w:val="center"/>
          </w:tcPr>
          <w:p w14:paraId="1FFC7387">
            <w:pPr>
              <w:pStyle w:val="51"/>
              <w:rPr>
                <w:color w:val="auto"/>
              </w:rPr>
            </w:pPr>
            <w:r>
              <w:rPr>
                <w:color w:val="auto"/>
              </w:rPr>
              <w:t>0</w:t>
            </w:r>
          </w:p>
        </w:tc>
        <w:tc>
          <w:tcPr>
            <w:tcW w:w="533" w:type="pct"/>
            <w:vAlign w:val="center"/>
          </w:tcPr>
          <w:p w14:paraId="39C4C422">
            <w:pPr>
              <w:pStyle w:val="51"/>
              <w:rPr>
                <w:color w:val="auto"/>
              </w:rPr>
            </w:pPr>
            <w:r>
              <w:rPr>
                <w:color w:val="auto"/>
              </w:rPr>
              <w:t>0</w:t>
            </w:r>
          </w:p>
        </w:tc>
        <w:tc>
          <w:tcPr>
            <w:tcW w:w="622" w:type="pct"/>
            <w:vAlign w:val="center"/>
          </w:tcPr>
          <w:p w14:paraId="0606FD4D">
            <w:pPr>
              <w:pStyle w:val="51"/>
              <w:rPr>
                <w:color w:val="auto"/>
              </w:rPr>
            </w:pPr>
            <w:r>
              <w:rPr>
                <w:color w:val="auto"/>
              </w:rPr>
              <w:t xml:space="preserve">0.1080 </w:t>
            </w:r>
          </w:p>
        </w:tc>
        <w:tc>
          <w:tcPr>
            <w:tcW w:w="475" w:type="pct"/>
            <w:vAlign w:val="center"/>
          </w:tcPr>
          <w:p w14:paraId="116B5EFF">
            <w:pPr>
              <w:pStyle w:val="51"/>
              <w:rPr>
                <w:color w:val="auto"/>
              </w:rPr>
            </w:pPr>
            <w:r>
              <w:rPr>
                <w:color w:val="auto"/>
              </w:rPr>
              <w:t>0</w:t>
            </w:r>
          </w:p>
        </w:tc>
        <w:tc>
          <w:tcPr>
            <w:tcW w:w="824" w:type="pct"/>
            <w:vAlign w:val="center"/>
          </w:tcPr>
          <w:p w14:paraId="05C3C690">
            <w:pPr>
              <w:pStyle w:val="51"/>
              <w:rPr>
                <w:color w:val="auto"/>
              </w:rPr>
            </w:pPr>
            <w:r>
              <w:rPr>
                <w:color w:val="auto"/>
              </w:rPr>
              <w:t>0</w:t>
            </w:r>
          </w:p>
        </w:tc>
        <w:tc>
          <w:tcPr>
            <w:tcW w:w="416" w:type="pct"/>
            <w:vAlign w:val="center"/>
          </w:tcPr>
          <w:p w14:paraId="2DE22521">
            <w:pPr>
              <w:pStyle w:val="51"/>
              <w:rPr>
                <w:color w:val="auto"/>
              </w:rPr>
            </w:pPr>
            <w:r>
              <w:rPr>
                <w:rFonts w:hint="eastAsia"/>
                <w:color w:val="auto"/>
              </w:rPr>
              <w:t>+</w:t>
            </w:r>
            <w:r>
              <w:rPr>
                <w:color w:val="auto"/>
              </w:rPr>
              <w:t xml:space="preserve">0.1080 </w:t>
            </w:r>
          </w:p>
        </w:tc>
      </w:tr>
      <w:tr w14:paraId="1649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vMerge w:val="continue"/>
            <w:vAlign w:val="center"/>
          </w:tcPr>
          <w:p w14:paraId="650D1293">
            <w:pPr>
              <w:pStyle w:val="51"/>
              <w:rPr>
                <w:color w:val="auto"/>
              </w:rPr>
            </w:pPr>
          </w:p>
        </w:tc>
        <w:tc>
          <w:tcPr>
            <w:tcW w:w="885" w:type="pct"/>
            <w:gridSpan w:val="2"/>
            <w:vAlign w:val="center"/>
          </w:tcPr>
          <w:p w14:paraId="59DA0D17">
            <w:pPr>
              <w:pStyle w:val="51"/>
              <w:rPr>
                <w:color w:val="auto"/>
              </w:rPr>
            </w:pPr>
            <w:r>
              <w:rPr>
                <w:color w:val="auto"/>
              </w:rPr>
              <w:t>TP</w:t>
            </w:r>
          </w:p>
        </w:tc>
        <w:tc>
          <w:tcPr>
            <w:tcW w:w="539" w:type="pct"/>
            <w:vAlign w:val="center"/>
          </w:tcPr>
          <w:p w14:paraId="7AF6818F">
            <w:pPr>
              <w:pStyle w:val="51"/>
              <w:rPr>
                <w:color w:val="auto"/>
              </w:rPr>
            </w:pPr>
            <w:r>
              <w:rPr>
                <w:color w:val="auto"/>
              </w:rPr>
              <w:t>0</w:t>
            </w:r>
          </w:p>
        </w:tc>
        <w:tc>
          <w:tcPr>
            <w:tcW w:w="378" w:type="pct"/>
            <w:vAlign w:val="center"/>
          </w:tcPr>
          <w:p w14:paraId="0B671A54">
            <w:pPr>
              <w:pStyle w:val="51"/>
              <w:rPr>
                <w:color w:val="auto"/>
              </w:rPr>
            </w:pPr>
            <w:r>
              <w:rPr>
                <w:color w:val="auto"/>
              </w:rPr>
              <w:t>0</w:t>
            </w:r>
          </w:p>
        </w:tc>
        <w:tc>
          <w:tcPr>
            <w:tcW w:w="533" w:type="pct"/>
            <w:vAlign w:val="center"/>
          </w:tcPr>
          <w:p w14:paraId="51BEB904">
            <w:pPr>
              <w:pStyle w:val="51"/>
              <w:rPr>
                <w:color w:val="auto"/>
              </w:rPr>
            </w:pPr>
            <w:r>
              <w:rPr>
                <w:color w:val="auto"/>
              </w:rPr>
              <w:t>0</w:t>
            </w:r>
          </w:p>
        </w:tc>
        <w:tc>
          <w:tcPr>
            <w:tcW w:w="622" w:type="pct"/>
            <w:vAlign w:val="center"/>
          </w:tcPr>
          <w:p w14:paraId="43EB98A4">
            <w:pPr>
              <w:pStyle w:val="51"/>
              <w:rPr>
                <w:color w:val="auto"/>
              </w:rPr>
            </w:pPr>
            <w:r>
              <w:rPr>
                <w:color w:val="auto"/>
              </w:rPr>
              <w:t xml:space="preserve">0.0072 </w:t>
            </w:r>
          </w:p>
        </w:tc>
        <w:tc>
          <w:tcPr>
            <w:tcW w:w="475" w:type="pct"/>
            <w:vAlign w:val="center"/>
          </w:tcPr>
          <w:p w14:paraId="225F668E">
            <w:pPr>
              <w:pStyle w:val="51"/>
              <w:rPr>
                <w:color w:val="auto"/>
              </w:rPr>
            </w:pPr>
            <w:r>
              <w:rPr>
                <w:color w:val="auto"/>
              </w:rPr>
              <w:t>0</w:t>
            </w:r>
          </w:p>
        </w:tc>
        <w:tc>
          <w:tcPr>
            <w:tcW w:w="824" w:type="pct"/>
            <w:vAlign w:val="center"/>
          </w:tcPr>
          <w:p w14:paraId="13332336">
            <w:pPr>
              <w:pStyle w:val="51"/>
              <w:rPr>
                <w:color w:val="auto"/>
              </w:rPr>
            </w:pPr>
            <w:r>
              <w:rPr>
                <w:color w:val="auto"/>
              </w:rPr>
              <w:t>0</w:t>
            </w:r>
          </w:p>
        </w:tc>
        <w:tc>
          <w:tcPr>
            <w:tcW w:w="416" w:type="pct"/>
            <w:vAlign w:val="center"/>
          </w:tcPr>
          <w:p w14:paraId="264611AF">
            <w:pPr>
              <w:pStyle w:val="51"/>
              <w:rPr>
                <w:color w:val="auto"/>
              </w:rPr>
            </w:pPr>
            <w:r>
              <w:rPr>
                <w:rFonts w:hint="eastAsia"/>
                <w:color w:val="auto"/>
              </w:rPr>
              <w:t>+</w:t>
            </w:r>
            <w:r>
              <w:rPr>
                <w:color w:val="auto"/>
              </w:rPr>
              <w:t xml:space="preserve">0.0072 </w:t>
            </w:r>
          </w:p>
        </w:tc>
      </w:tr>
      <w:tr w14:paraId="6DE6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vMerge w:val="restart"/>
            <w:vAlign w:val="center"/>
          </w:tcPr>
          <w:p w14:paraId="74AB6FF8">
            <w:pPr>
              <w:pStyle w:val="51"/>
              <w:rPr>
                <w:color w:val="auto"/>
              </w:rPr>
            </w:pPr>
            <w:r>
              <w:rPr>
                <w:color w:val="auto"/>
              </w:rPr>
              <w:t>固废</w:t>
            </w:r>
          </w:p>
        </w:tc>
        <w:tc>
          <w:tcPr>
            <w:tcW w:w="340" w:type="pct"/>
            <w:vMerge w:val="restart"/>
            <w:vAlign w:val="center"/>
          </w:tcPr>
          <w:p w14:paraId="1CB7EAE3">
            <w:pPr>
              <w:pStyle w:val="51"/>
              <w:rPr>
                <w:color w:val="auto"/>
              </w:rPr>
            </w:pPr>
            <w:r>
              <w:rPr>
                <w:color w:val="auto"/>
              </w:rPr>
              <w:t>一般</w:t>
            </w:r>
          </w:p>
          <w:p w14:paraId="02A5635C">
            <w:pPr>
              <w:pStyle w:val="51"/>
              <w:rPr>
                <w:color w:val="auto"/>
              </w:rPr>
            </w:pPr>
            <w:r>
              <w:rPr>
                <w:color w:val="auto"/>
              </w:rPr>
              <w:t>固废</w:t>
            </w:r>
          </w:p>
        </w:tc>
        <w:tc>
          <w:tcPr>
            <w:tcW w:w="545" w:type="pct"/>
            <w:vAlign w:val="center"/>
          </w:tcPr>
          <w:p w14:paraId="6FFA1EC5">
            <w:pPr>
              <w:pStyle w:val="51"/>
              <w:rPr>
                <w:color w:val="auto"/>
              </w:rPr>
            </w:pPr>
            <w:r>
              <w:rPr>
                <w:rFonts w:hint="eastAsia"/>
                <w:color w:val="auto"/>
              </w:rPr>
              <w:t>废丝</w:t>
            </w:r>
          </w:p>
        </w:tc>
        <w:tc>
          <w:tcPr>
            <w:tcW w:w="539" w:type="pct"/>
            <w:vAlign w:val="center"/>
          </w:tcPr>
          <w:p w14:paraId="570FC9C1">
            <w:pPr>
              <w:pStyle w:val="51"/>
              <w:rPr>
                <w:color w:val="auto"/>
              </w:rPr>
            </w:pPr>
            <w:r>
              <w:rPr>
                <w:color w:val="auto"/>
              </w:rPr>
              <w:t>0</w:t>
            </w:r>
          </w:p>
        </w:tc>
        <w:tc>
          <w:tcPr>
            <w:tcW w:w="378" w:type="pct"/>
            <w:vAlign w:val="center"/>
          </w:tcPr>
          <w:p w14:paraId="1A13BA71">
            <w:pPr>
              <w:pStyle w:val="51"/>
              <w:rPr>
                <w:color w:val="auto"/>
              </w:rPr>
            </w:pPr>
            <w:r>
              <w:rPr>
                <w:color w:val="auto"/>
              </w:rPr>
              <w:t>0</w:t>
            </w:r>
          </w:p>
        </w:tc>
        <w:tc>
          <w:tcPr>
            <w:tcW w:w="533" w:type="pct"/>
            <w:vAlign w:val="center"/>
          </w:tcPr>
          <w:p w14:paraId="7EDFA044">
            <w:pPr>
              <w:pStyle w:val="51"/>
              <w:rPr>
                <w:color w:val="auto"/>
              </w:rPr>
            </w:pPr>
            <w:r>
              <w:rPr>
                <w:color w:val="auto"/>
              </w:rPr>
              <w:t>0</w:t>
            </w:r>
          </w:p>
        </w:tc>
        <w:tc>
          <w:tcPr>
            <w:tcW w:w="622" w:type="pct"/>
            <w:vAlign w:val="center"/>
          </w:tcPr>
          <w:p w14:paraId="5F77F61E">
            <w:pPr>
              <w:pStyle w:val="51"/>
              <w:rPr>
                <w:color w:val="auto"/>
              </w:rPr>
            </w:pPr>
            <w:r>
              <w:rPr>
                <w:color w:val="auto"/>
              </w:rPr>
              <w:t>200</w:t>
            </w:r>
          </w:p>
        </w:tc>
        <w:tc>
          <w:tcPr>
            <w:tcW w:w="475" w:type="pct"/>
            <w:vAlign w:val="center"/>
          </w:tcPr>
          <w:p w14:paraId="07A79292">
            <w:pPr>
              <w:pStyle w:val="51"/>
              <w:rPr>
                <w:color w:val="auto"/>
              </w:rPr>
            </w:pPr>
            <w:r>
              <w:rPr>
                <w:color w:val="auto"/>
              </w:rPr>
              <w:t>0</w:t>
            </w:r>
          </w:p>
        </w:tc>
        <w:tc>
          <w:tcPr>
            <w:tcW w:w="824" w:type="pct"/>
            <w:vAlign w:val="center"/>
          </w:tcPr>
          <w:p w14:paraId="5236D18B">
            <w:pPr>
              <w:pStyle w:val="51"/>
              <w:rPr>
                <w:color w:val="auto"/>
              </w:rPr>
            </w:pPr>
            <w:r>
              <w:rPr>
                <w:color w:val="auto"/>
              </w:rPr>
              <w:t>0</w:t>
            </w:r>
          </w:p>
        </w:tc>
        <w:tc>
          <w:tcPr>
            <w:tcW w:w="416" w:type="pct"/>
            <w:vAlign w:val="center"/>
          </w:tcPr>
          <w:p w14:paraId="6A9C0097">
            <w:pPr>
              <w:pStyle w:val="51"/>
              <w:rPr>
                <w:color w:val="auto"/>
              </w:rPr>
            </w:pPr>
            <w:r>
              <w:rPr>
                <w:rFonts w:hint="eastAsia"/>
                <w:color w:val="auto"/>
              </w:rPr>
              <w:t>+</w:t>
            </w:r>
            <w:r>
              <w:rPr>
                <w:color w:val="auto"/>
              </w:rPr>
              <w:t xml:space="preserve">200 </w:t>
            </w:r>
          </w:p>
        </w:tc>
      </w:tr>
      <w:tr w14:paraId="64C4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vMerge w:val="continue"/>
            <w:vAlign w:val="center"/>
          </w:tcPr>
          <w:p w14:paraId="6EB8A5AD">
            <w:pPr>
              <w:pStyle w:val="51"/>
              <w:rPr>
                <w:color w:val="auto"/>
              </w:rPr>
            </w:pPr>
          </w:p>
        </w:tc>
        <w:tc>
          <w:tcPr>
            <w:tcW w:w="340" w:type="pct"/>
            <w:vMerge w:val="continue"/>
            <w:vAlign w:val="center"/>
          </w:tcPr>
          <w:p w14:paraId="25DCE1EF">
            <w:pPr>
              <w:pStyle w:val="51"/>
              <w:rPr>
                <w:color w:val="auto"/>
              </w:rPr>
            </w:pPr>
          </w:p>
        </w:tc>
        <w:tc>
          <w:tcPr>
            <w:tcW w:w="545" w:type="pct"/>
            <w:vAlign w:val="center"/>
          </w:tcPr>
          <w:p w14:paraId="6CAB7553">
            <w:pPr>
              <w:pStyle w:val="51"/>
              <w:rPr>
                <w:color w:val="auto"/>
              </w:rPr>
            </w:pPr>
            <w:r>
              <w:rPr>
                <w:rFonts w:hint="eastAsia"/>
                <w:color w:val="auto"/>
              </w:rPr>
              <w:t>废磨毛料</w:t>
            </w:r>
          </w:p>
        </w:tc>
        <w:tc>
          <w:tcPr>
            <w:tcW w:w="539" w:type="pct"/>
            <w:vAlign w:val="center"/>
          </w:tcPr>
          <w:p w14:paraId="19D7214D">
            <w:pPr>
              <w:pStyle w:val="51"/>
              <w:rPr>
                <w:color w:val="auto"/>
              </w:rPr>
            </w:pPr>
            <w:r>
              <w:rPr>
                <w:color w:val="auto"/>
              </w:rPr>
              <w:t>0</w:t>
            </w:r>
          </w:p>
        </w:tc>
        <w:tc>
          <w:tcPr>
            <w:tcW w:w="378" w:type="pct"/>
            <w:vAlign w:val="center"/>
          </w:tcPr>
          <w:p w14:paraId="4F1E6577">
            <w:pPr>
              <w:pStyle w:val="51"/>
              <w:rPr>
                <w:color w:val="auto"/>
              </w:rPr>
            </w:pPr>
            <w:r>
              <w:rPr>
                <w:color w:val="auto"/>
              </w:rPr>
              <w:t>0</w:t>
            </w:r>
          </w:p>
        </w:tc>
        <w:tc>
          <w:tcPr>
            <w:tcW w:w="533" w:type="pct"/>
            <w:vAlign w:val="center"/>
          </w:tcPr>
          <w:p w14:paraId="59FAFF70">
            <w:pPr>
              <w:pStyle w:val="51"/>
              <w:rPr>
                <w:color w:val="auto"/>
              </w:rPr>
            </w:pPr>
            <w:r>
              <w:rPr>
                <w:color w:val="auto"/>
              </w:rPr>
              <w:t>0</w:t>
            </w:r>
          </w:p>
        </w:tc>
        <w:tc>
          <w:tcPr>
            <w:tcW w:w="622" w:type="pct"/>
            <w:vAlign w:val="center"/>
          </w:tcPr>
          <w:p w14:paraId="4C9A3B80">
            <w:pPr>
              <w:pStyle w:val="51"/>
              <w:rPr>
                <w:color w:val="auto"/>
              </w:rPr>
            </w:pPr>
            <w:r>
              <w:rPr>
                <w:color w:val="auto"/>
              </w:rPr>
              <w:t>10</w:t>
            </w:r>
          </w:p>
        </w:tc>
        <w:tc>
          <w:tcPr>
            <w:tcW w:w="475" w:type="pct"/>
            <w:vAlign w:val="center"/>
          </w:tcPr>
          <w:p w14:paraId="739A87B3">
            <w:pPr>
              <w:pStyle w:val="51"/>
              <w:rPr>
                <w:color w:val="auto"/>
              </w:rPr>
            </w:pPr>
            <w:r>
              <w:rPr>
                <w:color w:val="auto"/>
              </w:rPr>
              <w:t>0</w:t>
            </w:r>
          </w:p>
        </w:tc>
        <w:tc>
          <w:tcPr>
            <w:tcW w:w="824" w:type="pct"/>
            <w:vAlign w:val="center"/>
          </w:tcPr>
          <w:p w14:paraId="04C7C01B">
            <w:pPr>
              <w:pStyle w:val="51"/>
              <w:rPr>
                <w:color w:val="auto"/>
              </w:rPr>
            </w:pPr>
            <w:r>
              <w:rPr>
                <w:color w:val="auto"/>
              </w:rPr>
              <w:t>0</w:t>
            </w:r>
          </w:p>
        </w:tc>
        <w:tc>
          <w:tcPr>
            <w:tcW w:w="416" w:type="pct"/>
            <w:vAlign w:val="center"/>
          </w:tcPr>
          <w:p w14:paraId="565C9F14">
            <w:pPr>
              <w:pStyle w:val="51"/>
              <w:rPr>
                <w:color w:val="auto"/>
              </w:rPr>
            </w:pPr>
            <w:r>
              <w:rPr>
                <w:rFonts w:hint="eastAsia"/>
                <w:color w:val="auto"/>
              </w:rPr>
              <w:t>+</w:t>
            </w:r>
            <w:r>
              <w:rPr>
                <w:color w:val="auto"/>
              </w:rPr>
              <w:t xml:space="preserve">10 </w:t>
            </w:r>
          </w:p>
        </w:tc>
      </w:tr>
      <w:tr w14:paraId="06AB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vMerge w:val="continue"/>
            <w:vAlign w:val="center"/>
          </w:tcPr>
          <w:p w14:paraId="0E5ECD19">
            <w:pPr>
              <w:pStyle w:val="51"/>
              <w:rPr>
                <w:color w:val="auto"/>
              </w:rPr>
            </w:pPr>
          </w:p>
        </w:tc>
        <w:tc>
          <w:tcPr>
            <w:tcW w:w="340" w:type="pct"/>
            <w:vMerge w:val="continue"/>
            <w:vAlign w:val="center"/>
          </w:tcPr>
          <w:p w14:paraId="26D6556E">
            <w:pPr>
              <w:pStyle w:val="51"/>
              <w:rPr>
                <w:color w:val="auto"/>
              </w:rPr>
            </w:pPr>
          </w:p>
        </w:tc>
        <w:tc>
          <w:tcPr>
            <w:tcW w:w="545" w:type="pct"/>
            <w:vAlign w:val="center"/>
          </w:tcPr>
          <w:p w14:paraId="21A0C0B1">
            <w:pPr>
              <w:pStyle w:val="51"/>
              <w:rPr>
                <w:color w:val="auto"/>
              </w:rPr>
            </w:pPr>
            <w:r>
              <w:rPr>
                <w:rFonts w:hint="eastAsia"/>
                <w:color w:val="auto"/>
              </w:rPr>
              <w:t>废布</w:t>
            </w:r>
          </w:p>
        </w:tc>
        <w:tc>
          <w:tcPr>
            <w:tcW w:w="539" w:type="pct"/>
            <w:vAlign w:val="center"/>
          </w:tcPr>
          <w:p w14:paraId="18738305">
            <w:pPr>
              <w:pStyle w:val="51"/>
              <w:rPr>
                <w:color w:val="auto"/>
              </w:rPr>
            </w:pPr>
            <w:r>
              <w:rPr>
                <w:color w:val="auto"/>
              </w:rPr>
              <w:t>0</w:t>
            </w:r>
          </w:p>
        </w:tc>
        <w:tc>
          <w:tcPr>
            <w:tcW w:w="378" w:type="pct"/>
            <w:vAlign w:val="center"/>
          </w:tcPr>
          <w:p w14:paraId="1DCF1DD3">
            <w:pPr>
              <w:pStyle w:val="51"/>
              <w:rPr>
                <w:color w:val="auto"/>
              </w:rPr>
            </w:pPr>
            <w:r>
              <w:rPr>
                <w:color w:val="auto"/>
              </w:rPr>
              <w:t>0</w:t>
            </w:r>
          </w:p>
        </w:tc>
        <w:tc>
          <w:tcPr>
            <w:tcW w:w="533" w:type="pct"/>
            <w:vAlign w:val="center"/>
          </w:tcPr>
          <w:p w14:paraId="4D80DA9D">
            <w:pPr>
              <w:pStyle w:val="51"/>
              <w:rPr>
                <w:color w:val="auto"/>
              </w:rPr>
            </w:pPr>
            <w:r>
              <w:rPr>
                <w:color w:val="auto"/>
              </w:rPr>
              <w:t>0</w:t>
            </w:r>
          </w:p>
        </w:tc>
        <w:tc>
          <w:tcPr>
            <w:tcW w:w="622" w:type="pct"/>
            <w:vAlign w:val="center"/>
          </w:tcPr>
          <w:p w14:paraId="5498FAAB">
            <w:pPr>
              <w:pStyle w:val="51"/>
              <w:rPr>
                <w:color w:val="auto"/>
              </w:rPr>
            </w:pPr>
            <w:r>
              <w:rPr>
                <w:color w:val="auto"/>
              </w:rPr>
              <w:t>20</w:t>
            </w:r>
          </w:p>
        </w:tc>
        <w:tc>
          <w:tcPr>
            <w:tcW w:w="475" w:type="pct"/>
            <w:vAlign w:val="center"/>
          </w:tcPr>
          <w:p w14:paraId="1EF2AA2D">
            <w:pPr>
              <w:pStyle w:val="51"/>
              <w:rPr>
                <w:color w:val="auto"/>
              </w:rPr>
            </w:pPr>
            <w:r>
              <w:rPr>
                <w:color w:val="auto"/>
              </w:rPr>
              <w:t>0</w:t>
            </w:r>
          </w:p>
        </w:tc>
        <w:tc>
          <w:tcPr>
            <w:tcW w:w="824" w:type="pct"/>
            <w:vAlign w:val="center"/>
          </w:tcPr>
          <w:p w14:paraId="2B615323">
            <w:pPr>
              <w:pStyle w:val="51"/>
              <w:rPr>
                <w:color w:val="auto"/>
              </w:rPr>
            </w:pPr>
            <w:r>
              <w:rPr>
                <w:color w:val="auto"/>
              </w:rPr>
              <w:t>0</w:t>
            </w:r>
          </w:p>
        </w:tc>
        <w:tc>
          <w:tcPr>
            <w:tcW w:w="416" w:type="pct"/>
            <w:vAlign w:val="center"/>
          </w:tcPr>
          <w:p w14:paraId="28C0FB97">
            <w:pPr>
              <w:pStyle w:val="51"/>
              <w:rPr>
                <w:color w:val="auto"/>
              </w:rPr>
            </w:pPr>
            <w:r>
              <w:rPr>
                <w:rFonts w:hint="eastAsia"/>
                <w:color w:val="auto"/>
              </w:rPr>
              <w:t>+</w:t>
            </w:r>
            <w:r>
              <w:rPr>
                <w:color w:val="auto"/>
              </w:rPr>
              <w:t xml:space="preserve">20 </w:t>
            </w:r>
          </w:p>
        </w:tc>
      </w:tr>
      <w:tr w14:paraId="6A49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vMerge w:val="continue"/>
            <w:vAlign w:val="center"/>
          </w:tcPr>
          <w:p w14:paraId="0673CD53">
            <w:pPr>
              <w:pStyle w:val="51"/>
              <w:rPr>
                <w:color w:val="auto"/>
              </w:rPr>
            </w:pPr>
          </w:p>
        </w:tc>
        <w:tc>
          <w:tcPr>
            <w:tcW w:w="340" w:type="pct"/>
            <w:vMerge w:val="continue"/>
            <w:vAlign w:val="center"/>
          </w:tcPr>
          <w:p w14:paraId="1F82AFDC">
            <w:pPr>
              <w:pStyle w:val="51"/>
              <w:rPr>
                <w:color w:val="auto"/>
              </w:rPr>
            </w:pPr>
          </w:p>
        </w:tc>
        <w:tc>
          <w:tcPr>
            <w:tcW w:w="545" w:type="pct"/>
            <w:vAlign w:val="center"/>
          </w:tcPr>
          <w:p w14:paraId="0BF3FF68">
            <w:pPr>
              <w:pStyle w:val="51"/>
              <w:rPr>
                <w:color w:val="auto"/>
              </w:rPr>
            </w:pPr>
            <w:r>
              <w:rPr>
                <w:rFonts w:hint="eastAsia"/>
                <w:color w:val="auto"/>
              </w:rPr>
              <w:t>废过滤介质</w:t>
            </w:r>
          </w:p>
        </w:tc>
        <w:tc>
          <w:tcPr>
            <w:tcW w:w="539" w:type="pct"/>
            <w:vAlign w:val="center"/>
          </w:tcPr>
          <w:p w14:paraId="6E05C67D">
            <w:pPr>
              <w:pStyle w:val="51"/>
              <w:rPr>
                <w:color w:val="auto"/>
              </w:rPr>
            </w:pPr>
            <w:r>
              <w:rPr>
                <w:color w:val="auto"/>
              </w:rPr>
              <w:t>0</w:t>
            </w:r>
          </w:p>
        </w:tc>
        <w:tc>
          <w:tcPr>
            <w:tcW w:w="378" w:type="pct"/>
            <w:vAlign w:val="center"/>
          </w:tcPr>
          <w:p w14:paraId="06C810CF">
            <w:pPr>
              <w:pStyle w:val="51"/>
              <w:rPr>
                <w:color w:val="auto"/>
              </w:rPr>
            </w:pPr>
            <w:r>
              <w:rPr>
                <w:color w:val="auto"/>
              </w:rPr>
              <w:t>0</w:t>
            </w:r>
          </w:p>
        </w:tc>
        <w:tc>
          <w:tcPr>
            <w:tcW w:w="533" w:type="pct"/>
            <w:vAlign w:val="center"/>
          </w:tcPr>
          <w:p w14:paraId="7C70EA85">
            <w:pPr>
              <w:pStyle w:val="51"/>
              <w:rPr>
                <w:color w:val="auto"/>
              </w:rPr>
            </w:pPr>
            <w:r>
              <w:rPr>
                <w:color w:val="auto"/>
              </w:rPr>
              <w:t>0</w:t>
            </w:r>
          </w:p>
        </w:tc>
        <w:tc>
          <w:tcPr>
            <w:tcW w:w="622" w:type="pct"/>
            <w:vAlign w:val="center"/>
          </w:tcPr>
          <w:p w14:paraId="65AD181F">
            <w:pPr>
              <w:pStyle w:val="51"/>
              <w:rPr>
                <w:color w:val="auto"/>
              </w:rPr>
            </w:pPr>
            <w:r>
              <w:rPr>
                <w:color w:val="auto"/>
              </w:rPr>
              <w:t>23</w:t>
            </w:r>
          </w:p>
        </w:tc>
        <w:tc>
          <w:tcPr>
            <w:tcW w:w="475" w:type="pct"/>
            <w:vAlign w:val="center"/>
          </w:tcPr>
          <w:p w14:paraId="2B7DF164">
            <w:pPr>
              <w:pStyle w:val="51"/>
              <w:rPr>
                <w:color w:val="auto"/>
              </w:rPr>
            </w:pPr>
            <w:r>
              <w:rPr>
                <w:color w:val="auto"/>
              </w:rPr>
              <w:t>0</w:t>
            </w:r>
          </w:p>
        </w:tc>
        <w:tc>
          <w:tcPr>
            <w:tcW w:w="824" w:type="pct"/>
            <w:vAlign w:val="center"/>
          </w:tcPr>
          <w:p w14:paraId="221F0474">
            <w:pPr>
              <w:pStyle w:val="51"/>
              <w:rPr>
                <w:color w:val="auto"/>
              </w:rPr>
            </w:pPr>
            <w:r>
              <w:rPr>
                <w:color w:val="auto"/>
              </w:rPr>
              <w:t>0</w:t>
            </w:r>
          </w:p>
        </w:tc>
        <w:tc>
          <w:tcPr>
            <w:tcW w:w="416" w:type="pct"/>
            <w:vAlign w:val="center"/>
          </w:tcPr>
          <w:p w14:paraId="56F64040">
            <w:pPr>
              <w:pStyle w:val="51"/>
              <w:rPr>
                <w:color w:val="auto"/>
              </w:rPr>
            </w:pPr>
            <w:r>
              <w:rPr>
                <w:rFonts w:hint="eastAsia"/>
                <w:color w:val="auto"/>
              </w:rPr>
              <w:t>+</w:t>
            </w:r>
            <w:r>
              <w:rPr>
                <w:color w:val="auto"/>
              </w:rPr>
              <w:t xml:space="preserve">23 </w:t>
            </w:r>
          </w:p>
        </w:tc>
      </w:tr>
      <w:tr w14:paraId="7B93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325" w:type="pct"/>
            <w:vMerge w:val="continue"/>
            <w:vAlign w:val="center"/>
          </w:tcPr>
          <w:p w14:paraId="292CD7DA">
            <w:pPr>
              <w:pStyle w:val="51"/>
              <w:rPr>
                <w:color w:val="auto"/>
              </w:rPr>
            </w:pPr>
          </w:p>
        </w:tc>
        <w:tc>
          <w:tcPr>
            <w:tcW w:w="340" w:type="pct"/>
            <w:vMerge w:val="continue"/>
            <w:vAlign w:val="center"/>
          </w:tcPr>
          <w:p w14:paraId="5CF53BBC">
            <w:pPr>
              <w:pStyle w:val="51"/>
              <w:rPr>
                <w:color w:val="auto"/>
              </w:rPr>
            </w:pPr>
          </w:p>
        </w:tc>
        <w:tc>
          <w:tcPr>
            <w:tcW w:w="545" w:type="pct"/>
            <w:shd w:val="clear" w:color="auto" w:fill="auto"/>
            <w:vAlign w:val="center"/>
          </w:tcPr>
          <w:p w14:paraId="0E321DA0">
            <w:pPr>
              <w:pStyle w:val="51"/>
              <w:rPr>
                <w:color w:val="auto"/>
              </w:rPr>
            </w:pPr>
            <w:r>
              <w:rPr>
                <w:rFonts w:hint="eastAsia"/>
                <w:color w:val="auto"/>
              </w:rPr>
              <w:t>废包装材料</w:t>
            </w:r>
          </w:p>
        </w:tc>
        <w:tc>
          <w:tcPr>
            <w:tcW w:w="539" w:type="pct"/>
            <w:vAlign w:val="center"/>
          </w:tcPr>
          <w:p w14:paraId="5480FF52">
            <w:pPr>
              <w:pStyle w:val="51"/>
              <w:rPr>
                <w:color w:val="auto"/>
              </w:rPr>
            </w:pPr>
            <w:r>
              <w:rPr>
                <w:rFonts w:hint="eastAsia"/>
                <w:color w:val="auto"/>
              </w:rPr>
              <w:t>0</w:t>
            </w:r>
          </w:p>
        </w:tc>
        <w:tc>
          <w:tcPr>
            <w:tcW w:w="378" w:type="pct"/>
            <w:vAlign w:val="center"/>
          </w:tcPr>
          <w:p w14:paraId="51C16894">
            <w:pPr>
              <w:pStyle w:val="51"/>
              <w:rPr>
                <w:color w:val="auto"/>
              </w:rPr>
            </w:pPr>
            <w:r>
              <w:rPr>
                <w:rFonts w:hint="eastAsia"/>
                <w:color w:val="auto"/>
              </w:rPr>
              <w:t>0</w:t>
            </w:r>
          </w:p>
        </w:tc>
        <w:tc>
          <w:tcPr>
            <w:tcW w:w="533" w:type="pct"/>
            <w:vAlign w:val="center"/>
          </w:tcPr>
          <w:p w14:paraId="2DBB4772">
            <w:pPr>
              <w:pStyle w:val="51"/>
              <w:rPr>
                <w:color w:val="auto"/>
              </w:rPr>
            </w:pPr>
            <w:r>
              <w:rPr>
                <w:rFonts w:hint="eastAsia"/>
                <w:color w:val="auto"/>
              </w:rPr>
              <w:t>0</w:t>
            </w:r>
          </w:p>
        </w:tc>
        <w:tc>
          <w:tcPr>
            <w:tcW w:w="622" w:type="pct"/>
            <w:vAlign w:val="center"/>
          </w:tcPr>
          <w:p w14:paraId="119C4F06">
            <w:pPr>
              <w:pStyle w:val="51"/>
              <w:rPr>
                <w:rFonts w:hint="eastAsia" w:eastAsia="宋体"/>
                <w:color w:val="auto"/>
                <w:lang w:eastAsia="zh-CN"/>
              </w:rPr>
            </w:pPr>
            <w:r>
              <w:rPr>
                <w:rFonts w:hint="eastAsia"/>
                <w:color w:val="auto"/>
                <w:lang w:val="en-US" w:eastAsia="zh-CN"/>
              </w:rPr>
              <w:t>6</w:t>
            </w:r>
          </w:p>
        </w:tc>
        <w:tc>
          <w:tcPr>
            <w:tcW w:w="475" w:type="pct"/>
            <w:vAlign w:val="center"/>
          </w:tcPr>
          <w:p w14:paraId="241E0C7B">
            <w:pPr>
              <w:pStyle w:val="51"/>
              <w:rPr>
                <w:color w:val="auto"/>
              </w:rPr>
            </w:pPr>
            <w:r>
              <w:rPr>
                <w:rFonts w:hint="eastAsia"/>
                <w:color w:val="auto"/>
              </w:rPr>
              <w:t>0</w:t>
            </w:r>
          </w:p>
        </w:tc>
        <w:tc>
          <w:tcPr>
            <w:tcW w:w="824" w:type="pct"/>
            <w:vAlign w:val="center"/>
          </w:tcPr>
          <w:p w14:paraId="5C7B5152">
            <w:pPr>
              <w:pStyle w:val="51"/>
              <w:rPr>
                <w:color w:val="auto"/>
              </w:rPr>
            </w:pPr>
            <w:r>
              <w:rPr>
                <w:rFonts w:hint="eastAsia"/>
                <w:color w:val="auto"/>
              </w:rPr>
              <w:t>0</w:t>
            </w:r>
          </w:p>
        </w:tc>
        <w:tc>
          <w:tcPr>
            <w:tcW w:w="416" w:type="pct"/>
            <w:vAlign w:val="center"/>
          </w:tcPr>
          <w:p w14:paraId="06CAAA5B">
            <w:pPr>
              <w:pStyle w:val="51"/>
              <w:rPr>
                <w:rFonts w:hint="eastAsia" w:eastAsia="宋体"/>
                <w:color w:val="auto"/>
                <w:lang w:eastAsia="zh-CN"/>
              </w:rPr>
            </w:pPr>
            <w:r>
              <w:rPr>
                <w:rFonts w:hint="eastAsia"/>
                <w:color w:val="auto"/>
              </w:rPr>
              <w:t>+</w:t>
            </w:r>
            <w:r>
              <w:rPr>
                <w:rFonts w:hint="eastAsia"/>
                <w:color w:val="auto"/>
                <w:lang w:val="en-US" w:eastAsia="zh-CN"/>
              </w:rPr>
              <w:t>6</w:t>
            </w:r>
          </w:p>
        </w:tc>
      </w:tr>
      <w:tr w14:paraId="724F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325" w:type="pct"/>
            <w:vMerge w:val="continue"/>
            <w:vAlign w:val="center"/>
          </w:tcPr>
          <w:p w14:paraId="07D50662">
            <w:pPr>
              <w:pStyle w:val="51"/>
              <w:rPr>
                <w:color w:val="auto"/>
              </w:rPr>
            </w:pPr>
          </w:p>
        </w:tc>
        <w:tc>
          <w:tcPr>
            <w:tcW w:w="340" w:type="pct"/>
            <w:vAlign w:val="center"/>
          </w:tcPr>
          <w:p w14:paraId="186B1C5C">
            <w:pPr>
              <w:pStyle w:val="51"/>
              <w:rPr>
                <w:rFonts w:hint="eastAsia" w:eastAsia="宋体"/>
                <w:color w:val="auto"/>
                <w:lang w:val="en-US" w:eastAsia="zh-CN"/>
              </w:rPr>
            </w:pPr>
            <w:r>
              <w:rPr>
                <w:rFonts w:hint="eastAsia"/>
                <w:color w:val="auto"/>
                <w:lang w:val="en-US" w:eastAsia="zh-CN"/>
              </w:rPr>
              <w:t>待鉴定</w:t>
            </w:r>
          </w:p>
        </w:tc>
        <w:tc>
          <w:tcPr>
            <w:tcW w:w="545" w:type="pct"/>
            <w:shd w:val="clear" w:color="auto" w:fill="auto"/>
            <w:vAlign w:val="center"/>
          </w:tcPr>
          <w:p w14:paraId="5151867E">
            <w:pPr>
              <w:pStyle w:val="51"/>
              <w:rPr>
                <w:rFonts w:hint="eastAsia"/>
                <w:color w:val="auto"/>
              </w:rPr>
            </w:pPr>
            <w:r>
              <w:rPr>
                <w:rFonts w:hint="eastAsia"/>
                <w:color w:val="auto"/>
              </w:rPr>
              <w:t>生化污泥</w:t>
            </w:r>
          </w:p>
        </w:tc>
        <w:tc>
          <w:tcPr>
            <w:tcW w:w="539" w:type="pct"/>
            <w:vAlign w:val="center"/>
          </w:tcPr>
          <w:p w14:paraId="359D2873">
            <w:pPr>
              <w:pStyle w:val="51"/>
              <w:rPr>
                <w:rFonts w:hint="eastAsia"/>
                <w:color w:val="auto"/>
              </w:rPr>
            </w:pPr>
            <w:r>
              <w:rPr>
                <w:color w:val="auto"/>
              </w:rPr>
              <w:t>0</w:t>
            </w:r>
          </w:p>
        </w:tc>
        <w:tc>
          <w:tcPr>
            <w:tcW w:w="378" w:type="pct"/>
            <w:vAlign w:val="center"/>
          </w:tcPr>
          <w:p w14:paraId="631635F4">
            <w:pPr>
              <w:pStyle w:val="51"/>
              <w:rPr>
                <w:rFonts w:hint="eastAsia"/>
                <w:color w:val="auto"/>
              </w:rPr>
            </w:pPr>
            <w:r>
              <w:rPr>
                <w:color w:val="auto"/>
              </w:rPr>
              <w:t>0</w:t>
            </w:r>
          </w:p>
        </w:tc>
        <w:tc>
          <w:tcPr>
            <w:tcW w:w="533" w:type="pct"/>
            <w:vAlign w:val="center"/>
          </w:tcPr>
          <w:p w14:paraId="729ACA9E">
            <w:pPr>
              <w:pStyle w:val="51"/>
              <w:rPr>
                <w:rFonts w:hint="eastAsia"/>
                <w:color w:val="auto"/>
              </w:rPr>
            </w:pPr>
            <w:r>
              <w:rPr>
                <w:color w:val="auto"/>
              </w:rPr>
              <w:t>0</w:t>
            </w:r>
          </w:p>
        </w:tc>
        <w:tc>
          <w:tcPr>
            <w:tcW w:w="622" w:type="pct"/>
            <w:vAlign w:val="center"/>
          </w:tcPr>
          <w:p w14:paraId="71B4BE32">
            <w:pPr>
              <w:pStyle w:val="51"/>
              <w:rPr>
                <w:rFonts w:hint="eastAsia"/>
                <w:color w:val="auto"/>
                <w:lang w:val="en-US" w:eastAsia="zh-CN"/>
              </w:rPr>
            </w:pPr>
            <w:r>
              <w:rPr>
                <w:rFonts w:hint="eastAsia"/>
                <w:color w:val="auto"/>
              </w:rPr>
              <w:t>472.11</w:t>
            </w:r>
          </w:p>
        </w:tc>
        <w:tc>
          <w:tcPr>
            <w:tcW w:w="475" w:type="pct"/>
            <w:vAlign w:val="center"/>
          </w:tcPr>
          <w:p w14:paraId="0E873399">
            <w:pPr>
              <w:pStyle w:val="51"/>
              <w:rPr>
                <w:rFonts w:hint="eastAsia"/>
                <w:color w:val="auto"/>
              </w:rPr>
            </w:pPr>
            <w:r>
              <w:rPr>
                <w:color w:val="auto"/>
              </w:rPr>
              <w:t>0</w:t>
            </w:r>
          </w:p>
        </w:tc>
        <w:tc>
          <w:tcPr>
            <w:tcW w:w="824" w:type="pct"/>
            <w:vAlign w:val="center"/>
          </w:tcPr>
          <w:p w14:paraId="43D41EC0">
            <w:pPr>
              <w:pStyle w:val="51"/>
              <w:rPr>
                <w:rFonts w:hint="eastAsia"/>
                <w:color w:val="auto"/>
              </w:rPr>
            </w:pPr>
            <w:r>
              <w:rPr>
                <w:color w:val="auto"/>
              </w:rPr>
              <w:t>0</w:t>
            </w:r>
          </w:p>
        </w:tc>
        <w:tc>
          <w:tcPr>
            <w:tcW w:w="416" w:type="pct"/>
            <w:vAlign w:val="center"/>
          </w:tcPr>
          <w:p w14:paraId="4A8D976D">
            <w:pPr>
              <w:pStyle w:val="51"/>
              <w:rPr>
                <w:rFonts w:hint="eastAsia"/>
                <w:color w:val="auto"/>
              </w:rPr>
            </w:pPr>
            <w:r>
              <w:rPr>
                <w:rFonts w:hint="eastAsia"/>
                <w:color w:val="auto"/>
              </w:rPr>
              <w:t>+472.11</w:t>
            </w:r>
          </w:p>
        </w:tc>
      </w:tr>
      <w:tr w14:paraId="1064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25" w:type="pct"/>
            <w:vMerge w:val="continue"/>
            <w:vAlign w:val="center"/>
          </w:tcPr>
          <w:p w14:paraId="50F8A246">
            <w:pPr>
              <w:pStyle w:val="51"/>
              <w:rPr>
                <w:color w:val="auto"/>
              </w:rPr>
            </w:pPr>
          </w:p>
        </w:tc>
        <w:tc>
          <w:tcPr>
            <w:tcW w:w="340" w:type="pct"/>
            <w:vMerge w:val="restart"/>
            <w:vAlign w:val="center"/>
          </w:tcPr>
          <w:p w14:paraId="2776F2DE">
            <w:pPr>
              <w:pStyle w:val="51"/>
              <w:rPr>
                <w:color w:val="auto"/>
              </w:rPr>
            </w:pPr>
            <w:r>
              <w:rPr>
                <w:rFonts w:hint="eastAsia"/>
                <w:color w:val="auto"/>
              </w:rPr>
              <w:t>危险固废</w:t>
            </w:r>
          </w:p>
        </w:tc>
        <w:tc>
          <w:tcPr>
            <w:tcW w:w="545" w:type="pct"/>
            <w:vAlign w:val="center"/>
          </w:tcPr>
          <w:p w14:paraId="17CBADC4">
            <w:pPr>
              <w:pStyle w:val="51"/>
              <w:rPr>
                <w:color w:val="auto"/>
              </w:rPr>
            </w:pPr>
            <w:r>
              <w:rPr>
                <w:rFonts w:hint="eastAsia"/>
                <w:color w:val="auto"/>
              </w:rPr>
              <w:t>物化污泥</w:t>
            </w:r>
          </w:p>
        </w:tc>
        <w:tc>
          <w:tcPr>
            <w:tcW w:w="539" w:type="pct"/>
            <w:vAlign w:val="center"/>
          </w:tcPr>
          <w:p w14:paraId="5BDB52DC">
            <w:pPr>
              <w:pStyle w:val="51"/>
              <w:rPr>
                <w:color w:val="auto"/>
              </w:rPr>
            </w:pPr>
            <w:r>
              <w:rPr>
                <w:rFonts w:hint="eastAsia"/>
                <w:color w:val="auto"/>
              </w:rPr>
              <w:t>0</w:t>
            </w:r>
          </w:p>
        </w:tc>
        <w:tc>
          <w:tcPr>
            <w:tcW w:w="378" w:type="pct"/>
            <w:vAlign w:val="center"/>
          </w:tcPr>
          <w:p w14:paraId="501ECADE">
            <w:pPr>
              <w:pStyle w:val="51"/>
              <w:rPr>
                <w:color w:val="auto"/>
              </w:rPr>
            </w:pPr>
            <w:r>
              <w:rPr>
                <w:rFonts w:hint="eastAsia"/>
                <w:color w:val="auto"/>
              </w:rPr>
              <w:t>0</w:t>
            </w:r>
          </w:p>
        </w:tc>
        <w:tc>
          <w:tcPr>
            <w:tcW w:w="533" w:type="pct"/>
            <w:vAlign w:val="center"/>
          </w:tcPr>
          <w:p w14:paraId="05000DE4">
            <w:pPr>
              <w:pStyle w:val="51"/>
              <w:rPr>
                <w:color w:val="auto"/>
              </w:rPr>
            </w:pPr>
            <w:r>
              <w:rPr>
                <w:rFonts w:hint="eastAsia"/>
                <w:color w:val="auto"/>
              </w:rPr>
              <w:t>0</w:t>
            </w:r>
          </w:p>
        </w:tc>
        <w:tc>
          <w:tcPr>
            <w:tcW w:w="622" w:type="pct"/>
            <w:vAlign w:val="center"/>
          </w:tcPr>
          <w:p w14:paraId="169F9E1A">
            <w:pPr>
              <w:pStyle w:val="51"/>
              <w:rPr>
                <w:rFonts w:hint="default" w:eastAsia="宋体"/>
                <w:color w:val="auto"/>
                <w:lang w:val="en-US" w:eastAsia="zh-CN"/>
              </w:rPr>
            </w:pPr>
            <w:r>
              <w:rPr>
                <w:rFonts w:hint="eastAsia"/>
                <w:color w:val="auto"/>
                <w:lang w:val="en-US" w:eastAsia="zh-CN"/>
              </w:rPr>
              <w:t>45.60</w:t>
            </w:r>
          </w:p>
        </w:tc>
        <w:tc>
          <w:tcPr>
            <w:tcW w:w="475" w:type="pct"/>
            <w:vAlign w:val="center"/>
          </w:tcPr>
          <w:p w14:paraId="2604BBF2">
            <w:pPr>
              <w:pStyle w:val="51"/>
              <w:rPr>
                <w:color w:val="auto"/>
              </w:rPr>
            </w:pPr>
            <w:r>
              <w:rPr>
                <w:rFonts w:hint="eastAsia"/>
                <w:color w:val="auto"/>
              </w:rPr>
              <w:t>0</w:t>
            </w:r>
          </w:p>
        </w:tc>
        <w:tc>
          <w:tcPr>
            <w:tcW w:w="824" w:type="pct"/>
            <w:vAlign w:val="center"/>
          </w:tcPr>
          <w:p w14:paraId="1BAB5752">
            <w:pPr>
              <w:pStyle w:val="51"/>
              <w:rPr>
                <w:color w:val="auto"/>
              </w:rPr>
            </w:pPr>
            <w:r>
              <w:rPr>
                <w:rFonts w:hint="eastAsia"/>
                <w:color w:val="auto"/>
              </w:rPr>
              <w:t>0</w:t>
            </w:r>
          </w:p>
        </w:tc>
        <w:tc>
          <w:tcPr>
            <w:tcW w:w="416" w:type="pct"/>
            <w:vAlign w:val="center"/>
          </w:tcPr>
          <w:p w14:paraId="0A5895F8">
            <w:pPr>
              <w:pStyle w:val="51"/>
              <w:rPr>
                <w:rFonts w:hint="default" w:eastAsia="宋体"/>
                <w:color w:val="auto"/>
                <w:lang w:val="en-US" w:eastAsia="zh-CN"/>
              </w:rPr>
            </w:pPr>
            <w:r>
              <w:rPr>
                <w:rFonts w:hint="eastAsia"/>
                <w:color w:val="auto"/>
              </w:rPr>
              <w:t>+</w:t>
            </w:r>
            <w:r>
              <w:rPr>
                <w:rFonts w:hint="eastAsia"/>
                <w:color w:val="auto"/>
                <w:lang w:val="en-US" w:eastAsia="zh-CN"/>
              </w:rPr>
              <w:t>45.60</w:t>
            </w:r>
          </w:p>
        </w:tc>
      </w:tr>
      <w:tr w14:paraId="63C6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325" w:type="pct"/>
            <w:vMerge w:val="continue"/>
            <w:vAlign w:val="center"/>
          </w:tcPr>
          <w:p w14:paraId="44156B8B">
            <w:pPr>
              <w:pStyle w:val="51"/>
              <w:rPr>
                <w:color w:val="auto"/>
              </w:rPr>
            </w:pPr>
          </w:p>
        </w:tc>
        <w:tc>
          <w:tcPr>
            <w:tcW w:w="340" w:type="pct"/>
            <w:vMerge w:val="continue"/>
            <w:vAlign w:val="center"/>
          </w:tcPr>
          <w:p w14:paraId="18A3D177">
            <w:pPr>
              <w:pStyle w:val="51"/>
              <w:rPr>
                <w:color w:val="auto"/>
              </w:rPr>
            </w:pPr>
          </w:p>
        </w:tc>
        <w:tc>
          <w:tcPr>
            <w:tcW w:w="545" w:type="pct"/>
            <w:vAlign w:val="center"/>
          </w:tcPr>
          <w:p w14:paraId="4BB62074">
            <w:pPr>
              <w:pStyle w:val="51"/>
              <w:rPr>
                <w:color w:val="auto"/>
              </w:rPr>
            </w:pPr>
            <w:r>
              <w:rPr>
                <w:rFonts w:hint="eastAsia"/>
                <w:color w:val="auto"/>
              </w:rPr>
              <w:t>废加弹油</w:t>
            </w:r>
          </w:p>
        </w:tc>
        <w:tc>
          <w:tcPr>
            <w:tcW w:w="539" w:type="pct"/>
            <w:vAlign w:val="center"/>
          </w:tcPr>
          <w:p w14:paraId="68936D08">
            <w:pPr>
              <w:pStyle w:val="51"/>
              <w:rPr>
                <w:color w:val="auto"/>
              </w:rPr>
            </w:pPr>
            <w:r>
              <w:rPr>
                <w:rFonts w:hint="eastAsia"/>
                <w:color w:val="auto"/>
              </w:rPr>
              <w:t>0</w:t>
            </w:r>
          </w:p>
        </w:tc>
        <w:tc>
          <w:tcPr>
            <w:tcW w:w="378" w:type="pct"/>
            <w:vAlign w:val="center"/>
          </w:tcPr>
          <w:p w14:paraId="674F4F6B">
            <w:pPr>
              <w:pStyle w:val="51"/>
              <w:rPr>
                <w:color w:val="auto"/>
              </w:rPr>
            </w:pPr>
            <w:r>
              <w:rPr>
                <w:rFonts w:hint="eastAsia"/>
                <w:color w:val="auto"/>
              </w:rPr>
              <w:t>0</w:t>
            </w:r>
          </w:p>
        </w:tc>
        <w:tc>
          <w:tcPr>
            <w:tcW w:w="533" w:type="pct"/>
            <w:vAlign w:val="center"/>
          </w:tcPr>
          <w:p w14:paraId="661A2B52">
            <w:pPr>
              <w:pStyle w:val="51"/>
              <w:rPr>
                <w:color w:val="auto"/>
              </w:rPr>
            </w:pPr>
            <w:r>
              <w:rPr>
                <w:rFonts w:hint="eastAsia"/>
                <w:color w:val="auto"/>
              </w:rPr>
              <w:t>0</w:t>
            </w:r>
          </w:p>
        </w:tc>
        <w:tc>
          <w:tcPr>
            <w:tcW w:w="622" w:type="pct"/>
            <w:vAlign w:val="center"/>
          </w:tcPr>
          <w:p w14:paraId="12ED4134">
            <w:pPr>
              <w:pStyle w:val="51"/>
              <w:rPr>
                <w:rFonts w:hint="default" w:eastAsia="宋体"/>
                <w:color w:val="auto"/>
                <w:lang w:val="en-US" w:eastAsia="zh-CN"/>
              </w:rPr>
            </w:pPr>
            <w:r>
              <w:rPr>
                <w:rFonts w:hint="eastAsia"/>
                <w:color w:val="auto"/>
                <w:lang w:val="en-US" w:eastAsia="zh-CN"/>
              </w:rPr>
              <w:t>6.98</w:t>
            </w:r>
          </w:p>
        </w:tc>
        <w:tc>
          <w:tcPr>
            <w:tcW w:w="475" w:type="pct"/>
            <w:vAlign w:val="center"/>
          </w:tcPr>
          <w:p w14:paraId="5318DECC">
            <w:pPr>
              <w:pStyle w:val="51"/>
              <w:rPr>
                <w:color w:val="auto"/>
              </w:rPr>
            </w:pPr>
            <w:r>
              <w:rPr>
                <w:rFonts w:hint="eastAsia"/>
                <w:color w:val="auto"/>
              </w:rPr>
              <w:t>0</w:t>
            </w:r>
          </w:p>
        </w:tc>
        <w:tc>
          <w:tcPr>
            <w:tcW w:w="824" w:type="pct"/>
            <w:vAlign w:val="center"/>
          </w:tcPr>
          <w:p w14:paraId="3D80FD0D">
            <w:pPr>
              <w:pStyle w:val="51"/>
              <w:rPr>
                <w:color w:val="auto"/>
              </w:rPr>
            </w:pPr>
            <w:r>
              <w:rPr>
                <w:rFonts w:hint="eastAsia"/>
                <w:color w:val="auto"/>
              </w:rPr>
              <w:t>0</w:t>
            </w:r>
          </w:p>
        </w:tc>
        <w:tc>
          <w:tcPr>
            <w:tcW w:w="416" w:type="pct"/>
            <w:vAlign w:val="center"/>
          </w:tcPr>
          <w:p w14:paraId="76D64BD8">
            <w:pPr>
              <w:pStyle w:val="51"/>
              <w:rPr>
                <w:rFonts w:hint="default" w:eastAsia="宋体"/>
                <w:color w:val="auto"/>
                <w:lang w:val="en-US" w:eastAsia="zh-CN"/>
              </w:rPr>
            </w:pPr>
            <w:r>
              <w:rPr>
                <w:rFonts w:hint="eastAsia"/>
                <w:color w:val="auto"/>
              </w:rPr>
              <w:t>+</w:t>
            </w:r>
            <w:r>
              <w:rPr>
                <w:rFonts w:hint="eastAsia"/>
                <w:color w:val="auto"/>
                <w:lang w:val="en-US" w:eastAsia="zh-CN"/>
              </w:rPr>
              <w:t>6.98</w:t>
            </w:r>
          </w:p>
        </w:tc>
      </w:tr>
      <w:tr w14:paraId="5058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vMerge w:val="continue"/>
            <w:vAlign w:val="center"/>
          </w:tcPr>
          <w:p w14:paraId="4A0E2C98">
            <w:pPr>
              <w:pStyle w:val="51"/>
              <w:rPr>
                <w:color w:val="auto"/>
              </w:rPr>
            </w:pPr>
          </w:p>
        </w:tc>
        <w:tc>
          <w:tcPr>
            <w:tcW w:w="340" w:type="pct"/>
            <w:vMerge w:val="continue"/>
            <w:vAlign w:val="center"/>
          </w:tcPr>
          <w:p w14:paraId="283EEADC">
            <w:pPr>
              <w:pStyle w:val="51"/>
              <w:rPr>
                <w:color w:val="auto"/>
              </w:rPr>
            </w:pPr>
          </w:p>
        </w:tc>
        <w:tc>
          <w:tcPr>
            <w:tcW w:w="545" w:type="pct"/>
            <w:vAlign w:val="center"/>
          </w:tcPr>
          <w:p w14:paraId="105DE87A">
            <w:pPr>
              <w:pStyle w:val="51"/>
              <w:rPr>
                <w:color w:val="auto"/>
              </w:rPr>
            </w:pPr>
            <w:r>
              <w:rPr>
                <w:rFonts w:hint="eastAsia"/>
                <w:color w:val="auto"/>
              </w:rPr>
              <w:t>废机油</w:t>
            </w:r>
          </w:p>
        </w:tc>
        <w:tc>
          <w:tcPr>
            <w:tcW w:w="539" w:type="pct"/>
            <w:vAlign w:val="center"/>
          </w:tcPr>
          <w:p w14:paraId="4497B017">
            <w:pPr>
              <w:pStyle w:val="51"/>
              <w:rPr>
                <w:color w:val="auto"/>
              </w:rPr>
            </w:pPr>
            <w:r>
              <w:rPr>
                <w:rFonts w:hint="eastAsia"/>
                <w:color w:val="auto"/>
              </w:rPr>
              <w:t>0</w:t>
            </w:r>
          </w:p>
        </w:tc>
        <w:tc>
          <w:tcPr>
            <w:tcW w:w="378" w:type="pct"/>
            <w:vAlign w:val="center"/>
          </w:tcPr>
          <w:p w14:paraId="59CBB55E">
            <w:pPr>
              <w:pStyle w:val="51"/>
              <w:rPr>
                <w:color w:val="auto"/>
              </w:rPr>
            </w:pPr>
            <w:r>
              <w:rPr>
                <w:rFonts w:hint="eastAsia"/>
                <w:color w:val="auto"/>
              </w:rPr>
              <w:t>0</w:t>
            </w:r>
          </w:p>
        </w:tc>
        <w:tc>
          <w:tcPr>
            <w:tcW w:w="533" w:type="pct"/>
            <w:vAlign w:val="center"/>
          </w:tcPr>
          <w:p w14:paraId="644490A3">
            <w:pPr>
              <w:pStyle w:val="51"/>
              <w:rPr>
                <w:color w:val="auto"/>
              </w:rPr>
            </w:pPr>
            <w:r>
              <w:rPr>
                <w:rFonts w:hint="eastAsia"/>
                <w:color w:val="auto"/>
              </w:rPr>
              <w:t>0</w:t>
            </w:r>
          </w:p>
        </w:tc>
        <w:tc>
          <w:tcPr>
            <w:tcW w:w="622" w:type="pct"/>
            <w:vAlign w:val="center"/>
          </w:tcPr>
          <w:p w14:paraId="1988DC52">
            <w:pPr>
              <w:pStyle w:val="51"/>
              <w:rPr>
                <w:color w:val="auto"/>
              </w:rPr>
            </w:pPr>
            <w:r>
              <w:rPr>
                <w:rFonts w:hint="eastAsia"/>
                <w:color w:val="auto"/>
              </w:rPr>
              <w:t>2.40</w:t>
            </w:r>
          </w:p>
        </w:tc>
        <w:tc>
          <w:tcPr>
            <w:tcW w:w="475" w:type="pct"/>
            <w:vAlign w:val="center"/>
          </w:tcPr>
          <w:p w14:paraId="06B4DE6B">
            <w:pPr>
              <w:pStyle w:val="51"/>
              <w:rPr>
                <w:color w:val="auto"/>
              </w:rPr>
            </w:pPr>
            <w:r>
              <w:rPr>
                <w:rFonts w:hint="eastAsia"/>
                <w:color w:val="auto"/>
              </w:rPr>
              <w:t>0</w:t>
            </w:r>
          </w:p>
        </w:tc>
        <w:tc>
          <w:tcPr>
            <w:tcW w:w="824" w:type="pct"/>
            <w:vAlign w:val="center"/>
          </w:tcPr>
          <w:p w14:paraId="25773BA7">
            <w:pPr>
              <w:pStyle w:val="51"/>
              <w:rPr>
                <w:color w:val="auto"/>
              </w:rPr>
            </w:pPr>
            <w:r>
              <w:rPr>
                <w:rFonts w:hint="eastAsia"/>
                <w:color w:val="auto"/>
              </w:rPr>
              <w:t>0</w:t>
            </w:r>
          </w:p>
        </w:tc>
        <w:tc>
          <w:tcPr>
            <w:tcW w:w="416" w:type="pct"/>
            <w:vAlign w:val="center"/>
          </w:tcPr>
          <w:p w14:paraId="4EC1F15A">
            <w:pPr>
              <w:pStyle w:val="51"/>
              <w:rPr>
                <w:color w:val="auto"/>
              </w:rPr>
            </w:pPr>
            <w:r>
              <w:rPr>
                <w:rFonts w:hint="eastAsia"/>
                <w:color w:val="auto"/>
              </w:rPr>
              <w:t>+2.40</w:t>
            </w:r>
          </w:p>
        </w:tc>
      </w:tr>
      <w:tr w14:paraId="480B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vMerge w:val="continue"/>
            <w:vAlign w:val="center"/>
          </w:tcPr>
          <w:p w14:paraId="144CF88D">
            <w:pPr>
              <w:pStyle w:val="51"/>
              <w:rPr>
                <w:color w:val="auto"/>
              </w:rPr>
            </w:pPr>
          </w:p>
        </w:tc>
        <w:tc>
          <w:tcPr>
            <w:tcW w:w="340" w:type="pct"/>
            <w:vMerge w:val="continue"/>
            <w:vAlign w:val="center"/>
          </w:tcPr>
          <w:p w14:paraId="15A56C38">
            <w:pPr>
              <w:pStyle w:val="51"/>
              <w:rPr>
                <w:color w:val="auto"/>
              </w:rPr>
            </w:pPr>
          </w:p>
        </w:tc>
        <w:tc>
          <w:tcPr>
            <w:tcW w:w="545" w:type="pct"/>
            <w:shd w:val="clear" w:color="auto" w:fill="auto"/>
            <w:vAlign w:val="center"/>
          </w:tcPr>
          <w:p w14:paraId="42EADC81">
            <w:pPr>
              <w:pStyle w:val="51"/>
              <w:rPr>
                <w:color w:val="auto"/>
              </w:rPr>
            </w:pPr>
            <w:r>
              <w:rPr>
                <w:rFonts w:hint="eastAsia"/>
                <w:color w:val="auto"/>
              </w:rPr>
              <w:t>废机油桶</w:t>
            </w:r>
          </w:p>
        </w:tc>
        <w:tc>
          <w:tcPr>
            <w:tcW w:w="539" w:type="pct"/>
            <w:vAlign w:val="center"/>
          </w:tcPr>
          <w:p w14:paraId="0608823F">
            <w:pPr>
              <w:pStyle w:val="51"/>
              <w:rPr>
                <w:color w:val="auto"/>
              </w:rPr>
            </w:pPr>
            <w:r>
              <w:rPr>
                <w:rFonts w:hint="eastAsia"/>
                <w:color w:val="auto"/>
              </w:rPr>
              <w:t>0</w:t>
            </w:r>
          </w:p>
        </w:tc>
        <w:tc>
          <w:tcPr>
            <w:tcW w:w="378" w:type="pct"/>
            <w:vAlign w:val="center"/>
          </w:tcPr>
          <w:p w14:paraId="3D7BB07A">
            <w:pPr>
              <w:pStyle w:val="51"/>
              <w:rPr>
                <w:color w:val="auto"/>
              </w:rPr>
            </w:pPr>
            <w:r>
              <w:rPr>
                <w:rFonts w:hint="eastAsia"/>
                <w:color w:val="auto"/>
              </w:rPr>
              <w:t>0</w:t>
            </w:r>
          </w:p>
        </w:tc>
        <w:tc>
          <w:tcPr>
            <w:tcW w:w="533" w:type="pct"/>
            <w:vAlign w:val="center"/>
          </w:tcPr>
          <w:p w14:paraId="266C0CA4">
            <w:pPr>
              <w:pStyle w:val="51"/>
              <w:rPr>
                <w:color w:val="auto"/>
              </w:rPr>
            </w:pPr>
            <w:r>
              <w:rPr>
                <w:rFonts w:hint="eastAsia"/>
                <w:color w:val="auto"/>
              </w:rPr>
              <w:t>0</w:t>
            </w:r>
          </w:p>
        </w:tc>
        <w:tc>
          <w:tcPr>
            <w:tcW w:w="622" w:type="pct"/>
            <w:vAlign w:val="center"/>
          </w:tcPr>
          <w:p w14:paraId="17DBA293">
            <w:pPr>
              <w:pStyle w:val="51"/>
              <w:rPr>
                <w:color w:val="auto"/>
              </w:rPr>
            </w:pPr>
            <w:r>
              <w:rPr>
                <w:rFonts w:hint="eastAsia"/>
                <w:color w:val="auto"/>
              </w:rPr>
              <w:t>0.08</w:t>
            </w:r>
          </w:p>
        </w:tc>
        <w:tc>
          <w:tcPr>
            <w:tcW w:w="475" w:type="pct"/>
            <w:vAlign w:val="center"/>
          </w:tcPr>
          <w:p w14:paraId="239BDA45">
            <w:pPr>
              <w:pStyle w:val="51"/>
              <w:rPr>
                <w:color w:val="auto"/>
              </w:rPr>
            </w:pPr>
            <w:r>
              <w:rPr>
                <w:rFonts w:hint="eastAsia"/>
                <w:color w:val="auto"/>
              </w:rPr>
              <w:t>0</w:t>
            </w:r>
          </w:p>
        </w:tc>
        <w:tc>
          <w:tcPr>
            <w:tcW w:w="824" w:type="pct"/>
            <w:vAlign w:val="center"/>
          </w:tcPr>
          <w:p w14:paraId="51C29A36">
            <w:pPr>
              <w:pStyle w:val="51"/>
              <w:rPr>
                <w:color w:val="auto"/>
              </w:rPr>
            </w:pPr>
            <w:r>
              <w:rPr>
                <w:rFonts w:hint="eastAsia"/>
                <w:color w:val="auto"/>
              </w:rPr>
              <w:t>0</w:t>
            </w:r>
          </w:p>
        </w:tc>
        <w:tc>
          <w:tcPr>
            <w:tcW w:w="416" w:type="pct"/>
            <w:vAlign w:val="center"/>
          </w:tcPr>
          <w:p w14:paraId="771F6B02">
            <w:pPr>
              <w:pStyle w:val="51"/>
              <w:rPr>
                <w:color w:val="auto"/>
              </w:rPr>
            </w:pPr>
            <w:r>
              <w:rPr>
                <w:rFonts w:hint="eastAsia"/>
                <w:color w:val="auto"/>
              </w:rPr>
              <w:t>+0.08</w:t>
            </w:r>
          </w:p>
        </w:tc>
      </w:tr>
      <w:tr w14:paraId="714C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vMerge w:val="continue"/>
            <w:vAlign w:val="center"/>
          </w:tcPr>
          <w:p w14:paraId="60742728">
            <w:pPr>
              <w:pStyle w:val="51"/>
              <w:rPr>
                <w:color w:val="auto"/>
              </w:rPr>
            </w:pPr>
          </w:p>
        </w:tc>
        <w:tc>
          <w:tcPr>
            <w:tcW w:w="885" w:type="pct"/>
            <w:gridSpan w:val="2"/>
            <w:vAlign w:val="center"/>
          </w:tcPr>
          <w:p w14:paraId="73B7E37C">
            <w:pPr>
              <w:pStyle w:val="51"/>
              <w:rPr>
                <w:color w:val="auto"/>
              </w:rPr>
            </w:pPr>
            <w:r>
              <w:rPr>
                <w:color w:val="auto"/>
              </w:rPr>
              <w:t>生活垃圾</w:t>
            </w:r>
          </w:p>
        </w:tc>
        <w:tc>
          <w:tcPr>
            <w:tcW w:w="539" w:type="pct"/>
            <w:vAlign w:val="center"/>
          </w:tcPr>
          <w:p w14:paraId="2CB33828">
            <w:pPr>
              <w:pStyle w:val="51"/>
              <w:rPr>
                <w:color w:val="auto"/>
              </w:rPr>
            </w:pPr>
            <w:r>
              <w:rPr>
                <w:color w:val="auto"/>
              </w:rPr>
              <w:t>0</w:t>
            </w:r>
          </w:p>
        </w:tc>
        <w:tc>
          <w:tcPr>
            <w:tcW w:w="378" w:type="pct"/>
            <w:vAlign w:val="center"/>
          </w:tcPr>
          <w:p w14:paraId="0521FAD0">
            <w:pPr>
              <w:pStyle w:val="51"/>
              <w:rPr>
                <w:color w:val="auto"/>
              </w:rPr>
            </w:pPr>
            <w:r>
              <w:rPr>
                <w:color w:val="auto"/>
              </w:rPr>
              <w:t>0</w:t>
            </w:r>
          </w:p>
        </w:tc>
        <w:tc>
          <w:tcPr>
            <w:tcW w:w="533" w:type="pct"/>
            <w:vAlign w:val="center"/>
          </w:tcPr>
          <w:p w14:paraId="30DC3B8E">
            <w:pPr>
              <w:pStyle w:val="51"/>
              <w:rPr>
                <w:color w:val="auto"/>
              </w:rPr>
            </w:pPr>
            <w:r>
              <w:rPr>
                <w:color w:val="auto"/>
              </w:rPr>
              <w:t>0</w:t>
            </w:r>
          </w:p>
        </w:tc>
        <w:tc>
          <w:tcPr>
            <w:tcW w:w="622" w:type="pct"/>
            <w:vAlign w:val="center"/>
          </w:tcPr>
          <w:p w14:paraId="619445B0">
            <w:pPr>
              <w:pStyle w:val="51"/>
              <w:rPr>
                <w:color w:val="auto"/>
              </w:rPr>
            </w:pPr>
            <w:r>
              <w:rPr>
                <w:color w:val="auto"/>
              </w:rPr>
              <w:t>3</w:t>
            </w:r>
            <w:r>
              <w:rPr>
                <w:rFonts w:hint="eastAsia"/>
                <w:color w:val="auto"/>
              </w:rPr>
              <w:t>0</w:t>
            </w:r>
          </w:p>
        </w:tc>
        <w:tc>
          <w:tcPr>
            <w:tcW w:w="475" w:type="pct"/>
            <w:vAlign w:val="center"/>
          </w:tcPr>
          <w:p w14:paraId="0CCC11B3">
            <w:pPr>
              <w:pStyle w:val="51"/>
              <w:rPr>
                <w:color w:val="auto"/>
              </w:rPr>
            </w:pPr>
            <w:r>
              <w:rPr>
                <w:rFonts w:hint="eastAsia"/>
                <w:color w:val="auto"/>
              </w:rPr>
              <w:t>0</w:t>
            </w:r>
          </w:p>
        </w:tc>
        <w:tc>
          <w:tcPr>
            <w:tcW w:w="824" w:type="pct"/>
            <w:vAlign w:val="center"/>
          </w:tcPr>
          <w:p w14:paraId="74090D28">
            <w:pPr>
              <w:pStyle w:val="51"/>
              <w:rPr>
                <w:color w:val="auto"/>
              </w:rPr>
            </w:pPr>
            <w:r>
              <w:rPr>
                <w:rFonts w:hint="eastAsia"/>
                <w:color w:val="auto"/>
              </w:rPr>
              <w:t>0</w:t>
            </w:r>
          </w:p>
        </w:tc>
        <w:tc>
          <w:tcPr>
            <w:tcW w:w="416" w:type="pct"/>
            <w:vAlign w:val="center"/>
          </w:tcPr>
          <w:p w14:paraId="546F7539">
            <w:pPr>
              <w:pStyle w:val="51"/>
              <w:rPr>
                <w:color w:val="auto"/>
              </w:rPr>
            </w:pPr>
            <w:r>
              <w:rPr>
                <w:rFonts w:hint="eastAsia"/>
                <w:color w:val="auto"/>
              </w:rPr>
              <w:t>+</w:t>
            </w:r>
            <w:r>
              <w:rPr>
                <w:color w:val="auto"/>
              </w:rPr>
              <w:t>3</w:t>
            </w:r>
            <w:r>
              <w:rPr>
                <w:rFonts w:hint="eastAsia"/>
                <w:color w:val="auto"/>
              </w:rPr>
              <w:t>0</w:t>
            </w:r>
          </w:p>
        </w:tc>
      </w:tr>
    </w:tbl>
    <w:p w14:paraId="3B793EBB">
      <w:pPr>
        <w:pStyle w:val="51"/>
        <w:jc w:val="left"/>
        <w:rPr>
          <w:color w:val="auto"/>
        </w:rPr>
      </w:pPr>
      <w:r>
        <w:rPr>
          <w:color w:val="auto"/>
        </w:rPr>
        <w:t>注：</w:t>
      </w:r>
      <w:r>
        <w:rPr>
          <w:color w:val="auto"/>
        </w:rPr>
        <w:fldChar w:fldCharType="begin"/>
      </w:r>
      <w:r>
        <w:rPr>
          <w:color w:val="auto"/>
        </w:rPr>
        <w:instrText xml:space="preserve"> = 6 \* GB3 \* MERGEFORMAT </w:instrText>
      </w:r>
      <w:r>
        <w:rPr>
          <w:color w:val="auto"/>
        </w:rPr>
        <w:fldChar w:fldCharType="separate"/>
      </w:r>
      <w:r>
        <w:rPr>
          <w:color w:val="auto"/>
        </w:rPr>
        <w:t>⑥</w:t>
      </w:r>
      <w:r>
        <w:rPr>
          <w:color w:val="auto"/>
        </w:rPr>
        <w:fldChar w:fldCharType="end"/>
      </w:r>
      <w:r>
        <w:rPr>
          <w:color w:val="auto"/>
        </w:rPr>
        <w:t>=</w:t>
      </w:r>
      <w:r>
        <w:rPr>
          <w:color w:val="auto"/>
        </w:rPr>
        <w:fldChar w:fldCharType="begin"/>
      </w:r>
      <w:r>
        <w:rPr>
          <w:color w:val="auto"/>
        </w:rPr>
        <w:instrText xml:space="preserve"> = 1 \* GB3 \* MERGEFORMAT </w:instrText>
      </w:r>
      <w:r>
        <w:rPr>
          <w:color w:val="auto"/>
        </w:rPr>
        <w:fldChar w:fldCharType="separate"/>
      </w:r>
      <w:r>
        <w:rPr>
          <w:color w:val="auto"/>
        </w:rPr>
        <w:t>①</w:t>
      </w:r>
      <w:r>
        <w:rPr>
          <w:color w:val="auto"/>
        </w:rPr>
        <w:fldChar w:fldCharType="end"/>
      </w:r>
      <w:r>
        <w:rPr>
          <w:color w:val="auto"/>
        </w:rPr>
        <w:t>+</w:t>
      </w:r>
      <w:r>
        <w:rPr>
          <w:color w:val="auto"/>
        </w:rPr>
        <w:fldChar w:fldCharType="begin"/>
      </w:r>
      <w:r>
        <w:rPr>
          <w:color w:val="auto"/>
        </w:rPr>
        <w:instrText xml:space="preserve"> = 3 \* GB3 \* MERGEFORMAT </w:instrText>
      </w:r>
      <w:r>
        <w:rPr>
          <w:color w:val="auto"/>
        </w:rPr>
        <w:fldChar w:fldCharType="separate"/>
      </w:r>
      <w:r>
        <w:rPr>
          <w:color w:val="auto"/>
        </w:rPr>
        <w:t>③</w:t>
      </w:r>
      <w:r>
        <w:rPr>
          <w:color w:val="auto"/>
        </w:rPr>
        <w:fldChar w:fldCharType="end"/>
      </w:r>
      <w:r>
        <w:rPr>
          <w:color w:val="auto"/>
        </w:rPr>
        <w:t>+</w:t>
      </w:r>
      <w:r>
        <w:rPr>
          <w:color w:val="auto"/>
        </w:rPr>
        <w:fldChar w:fldCharType="begin"/>
      </w:r>
      <w:r>
        <w:rPr>
          <w:color w:val="auto"/>
        </w:rPr>
        <w:instrText xml:space="preserve"> = 4 \* GB3 \* MERGEFORMAT </w:instrText>
      </w:r>
      <w:r>
        <w:rPr>
          <w:color w:val="auto"/>
        </w:rPr>
        <w:fldChar w:fldCharType="separate"/>
      </w:r>
      <w:r>
        <w:rPr>
          <w:color w:val="auto"/>
        </w:rPr>
        <w:t>④</w:t>
      </w:r>
      <w:r>
        <w:rPr>
          <w:color w:val="auto"/>
        </w:rPr>
        <w:fldChar w:fldCharType="end"/>
      </w:r>
      <w:r>
        <w:rPr>
          <w:color w:val="auto"/>
        </w:rPr>
        <w:t>-</w:t>
      </w:r>
      <w:r>
        <w:rPr>
          <w:color w:val="auto"/>
        </w:rPr>
        <w:fldChar w:fldCharType="begin"/>
      </w:r>
      <w:r>
        <w:rPr>
          <w:color w:val="auto"/>
        </w:rPr>
        <w:instrText xml:space="preserve"> = 5 \* GB3 \* MERGEFORMAT </w:instrText>
      </w:r>
      <w:r>
        <w:rPr>
          <w:color w:val="auto"/>
        </w:rPr>
        <w:fldChar w:fldCharType="separate"/>
      </w:r>
      <w:r>
        <w:rPr>
          <w:color w:val="auto"/>
        </w:rPr>
        <w:t>⑤</w:t>
      </w:r>
      <w:r>
        <w:rPr>
          <w:color w:val="auto"/>
        </w:rPr>
        <w:fldChar w:fldCharType="end"/>
      </w:r>
      <w:r>
        <w:rPr>
          <w:color w:val="auto"/>
        </w:rPr>
        <w:t>；</w:t>
      </w:r>
      <w:r>
        <w:rPr>
          <w:color w:val="auto"/>
        </w:rPr>
        <w:fldChar w:fldCharType="begin"/>
      </w:r>
      <w:r>
        <w:rPr>
          <w:color w:val="auto"/>
        </w:rPr>
        <w:instrText xml:space="preserve"> = 7 \* GB3 \* MERGEFORMAT </w:instrText>
      </w:r>
      <w:r>
        <w:rPr>
          <w:color w:val="auto"/>
        </w:rPr>
        <w:fldChar w:fldCharType="separate"/>
      </w:r>
      <w:r>
        <w:rPr>
          <w:color w:val="auto"/>
        </w:rPr>
        <w:t>⑦</w:t>
      </w:r>
      <w:r>
        <w:rPr>
          <w:color w:val="auto"/>
        </w:rPr>
        <w:fldChar w:fldCharType="end"/>
      </w:r>
      <w:r>
        <w:rPr>
          <w:color w:val="auto"/>
        </w:rPr>
        <w:t>=</w:t>
      </w:r>
      <w:r>
        <w:rPr>
          <w:color w:val="auto"/>
        </w:rPr>
        <w:fldChar w:fldCharType="begin"/>
      </w:r>
      <w:r>
        <w:rPr>
          <w:color w:val="auto"/>
        </w:rPr>
        <w:instrText xml:space="preserve"> = 6 \* GB3 \* MERGEFORMAT </w:instrText>
      </w:r>
      <w:r>
        <w:rPr>
          <w:color w:val="auto"/>
        </w:rPr>
        <w:fldChar w:fldCharType="separate"/>
      </w:r>
      <w:r>
        <w:rPr>
          <w:color w:val="auto"/>
        </w:rPr>
        <w:t>⑥</w:t>
      </w:r>
      <w:r>
        <w:rPr>
          <w:color w:val="auto"/>
        </w:rPr>
        <w:fldChar w:fldCharType="end"/>
      </w:r>
      <w:r>
        <w:rPr>
          <w:color w:val="auto"/>
        </w:rPr>
        <w:t>-</w:t>
      </w:r>
      <w:r>
        <w:rPr>
          <w:color w:val="auto"/>
        </w:rPr>
        <w:fldChar w:fldCharType="begin"/>
      </w:r>
      <w:r>
        <w:rPr>
          <w:color w:val="auto"/>
        </w:rPr>
        <w:instrText xml:space="preserve"> = 1 \* GB3 \* MERGEFORMAT </w:instrText>
      </w:r>
      <w:r>
        <w:rPr>
          <w:color w:val="auto"/>
        </w:rPr>
        <w:fldChar w:fldCharType="separate"/>
      </w:r>
      <w:r>
        <w:rPr>
          <w:color w:val="auto"/>
        </w:rPr>
        <w:t>①</w:t>
      </w:r>
      <w:r>
        <w:rPr>
          <w:color w:val="auto"/>
        </w:rPr>
        <w:fldChar w:fldCharType="end"/>
      </w:r>
    </w:p>
    <w:sectPr>
      <w:footerReference r:id="rId8" w:type="default"/>
      <w:pgSz w:w="16838" w:h="11906" w:orient="landscape"/>
      <w:pgMar w:top="1417" w:right="1701" w:bottom="1417" w:left="1701" w:header="851" w:footer="851"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55004">
    <w:pPr>
      <w:tabs>
        <w:tab w:val="center" w:pos="4153"/>
        <w:tab w:val="right" w:pos="8306"/>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AF2B6">
    <w:pPr>
      <w:tabs>
        <w:tab w:val="center" w:pos="4153"/>
        <w:tab w:val="right" w:pos="8306"/>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32B23">
    <w:pPr>
      <w:tabs>
        <w:tab w:val="center" w:pos="4153"/>
        <w:tab w:val="right" w:pos="8306"/>
      </w:tabs>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254000"/>
              <wp:effectExtent l="0" t="0" r="0" b="0"/>
              <wp:wrapNone/>
              <wp:docPr id="4" name="文本框 102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0B861E8A">
                          <w:pPr>
                            <w:tabs>
                              <w:tab w:val="center" w:pos="4153"/>
                              <w:tab w:val="right" w:pos="8306"/>
                            </w:tabs>
                            <w:ind w:firstLine="360"/>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28" o:spid="_x0000_s1026" o:spt="202" type="#_x0000_t202" style="position:absolute;left:0pt;margin-top:0pt;height:20pt;width:22.55pt;mso-position-horizontal:center;mso-position-horizontal-relative:margin;mso-wrap-style:none;z-index:251660288;mso-width-relative:page;mso-height-relative:page;" filled="f" stroked="f" coordsize="21600,21600" o:gfxdata="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6&#10;MdnL0AAAAAMBAAAPAAAAAAAAAAEAIAAAACIAAABkcnMvZG93bnJldi54bWxQSwECFAAUAAAACACH&#10;TuJAU6Rq6/MBAADlAwAADgAAAAAAAAABACAAAAAfAQAAZHJzL2Uyb0RvYy54bWxQSwUGAAAAAAYA&#10;BgBZAQAAhAUAAAAA&#10;">
              <v:fill on="f" focussize="0,0"/>
              <v:stroke on="f"/>
              <v:imagedata o:title=""/>
              <o:lock v:ext="edit" aspectratio="f"/>
              <v:textbox inset="0mm,0mm,0mm,0mm" style="mso-fit-shape-to-text:t;">
                <w:txbxContent>
                  <w:p w14:paraId="0B861E8A">
                    <w:pPr>
                      <w:tabs>
                        <w:tab w:val="center" w:pos="4153"/>
                        <w:tab w:val="right" w:pos="8306"/>
                      </w:tabs>
                      <w:ind w:firstLine="360"/>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E3F05">
    <w:pPr>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254000"/>
              <wp:effectExtent l="0" t="0" r="0" b="0"/>
              <wp:wrapNone/>
              <wp:docPr id="519" name=" 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4303A153">
                          <w:pPr>
                            <w:tabs>
                              <w:tab w:val="center" w:pos="4153"/>
                              <w:tab w:val="right" w:pos="8306"/>
                            </w:tabs>
                            <w:ind w:firstLine="360"/>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 6" o:spid="_x0000_s1026" o:spt="202" type="#_x0000_t202" style="position:absolute;left:0pt;margin-top:0pt;height:20pt;width:27.05pt;mso-position-horizontal:center;mso-position-horizontal-relative:margin;mso-wrap-style:none;z-index:251659264;mso-width-relative:page;mso-height-relative:page;" filled="f" stroked="f" coordsize="21600,21600" o:gfxdata="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xVrqdEAAAADAQAADwAAAAAAAAAB&#10;ACAAAAAiAAAAZHJzL2Rvd25yZXYueG1sUEsBAhQAFAAAAAgAh07iQMoJZxjeAQAA2wMAAA4AAAAA&#10;AAAAAQAgAAAAIAEAAGRycy9lMm9Eb2MueG1sUEsFBgAAAAAGAAYAWQEAAHAFAAAAAA==&#10;">
              <v:fill on="f" focussize="0,0"/>
              <v:stroke on="f"/>
              <v:imagedata o:title=""/>
              <o:lock v:ext="edit" aspectratio="f"/>
              <v:textbox inset="0mm,0mm,0mm,0mm" style="mso-fit-shape-to-text:t;">
                <w:txbxContent>
                  <w:p w14:paraId="4303A153">
                    <w:pPr>
                      <w:tabs>
                        <w:tab w:val="center" w:pos="4153"/>
                        <w:tab w:val="right" w:pos="8306"/>
                      </w:tabs>
                      <w:ind w:firstLine="360"/>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YzY5YzEyNTE1MTZmNzAwOWZhZWRmN2Y0YmEzYWYifQ=="/>
  </w:docVars>
  <w:rsids>
    <w:rsidRoot w:val="00172A27"/>
    <w:rsid w:val="00021095"/>
    <w:rsid w:val="00052AF6"/>
    <w:rsid w:val="0007262B"/>
    <w:rsid w:val="00092AE4"/>
    <w:rsid w:val="000942B7"/>
    <w:rsid w:val="000A5BF3"/>
    <w:rsid w:val="000B1DA2"/>
    <w:rsid w:val="000E3EDA"/>
    <w:rsid w:val="000E3FC3"/>
    <w:rsid w:val="000E5D71"/>
    <w:rsid w:val="000F72A2"/>
    <w:rsid w:val="001113BD"/>
    <w:rsid w:val="0011582D"/>
    <w:rsid w:val="00133387"/>
    <w:rsid w:val="00135131"/>
    <w:rsid w:val="00153917"/>
    <w:rsid w:val="00155351"/>
    <w:rsid w:val="00164CC9"/>
    <w:rsid w:val="00166FBA"/>
    <w:rsid w:val="00170D76"/>
    <w:rsid w:val="00170FA9"/>
    <w:rsid w:val="00172A27"/>
    <w:rsid w:val="0017573F"/>
    <w:rsid w:val="001823F8"/>
    <w:rsid w:val="00186BF0"/>
    <w:rsid w:val="001A1484"/>
    <w:rsid w:val="001A2968"/>
    <w:rsid w:val="001B3379"/>
    <w:rsid w:val="001D45EA"/>
    <w:rsid w:val="001E1E0E"/>
    <w:rsid w:val="001F0D05"/>
    <w:rsid w:val="002029A0"/>
    <w:rsid w:val="00206122"/>
    <w:rsid w:val="00236AEB"/>
    <w:rsid w:val="00250B55"/>
    <w:rsid w:val="00291D64"/>
    <w:rsid w:val="00296636"/>
    <w:rsid w:val="002B55AE"/>
    <w:rsid w:val="002C56D1"/>
    <w:rsid w:val="002D62C3"/>
    <w:rsid w:val="00300489"/>
    <w:rsid w:val="00317F79"/>
    <w:rsid w:val="003246CF"/>
    <w:rsid w:val="003532FE"/>
    <w:rsid w:val="0036627C"/>
    <w:rsid w:val="00384B9C"/>
    <w:rsid w:val="003867CB"/>
    <w:rsid w:val="00392C7B"/>
    <w:rsid w:val="003B4FC5"/>
    <w:rsid w:val="003C2C7C"/>
    <w:rsid w:val="003D0404"/>
    <w:rsid w:val="003D1991"/>
    <w:rsid w:val="003D520E"/>
    <w:rsid w:val="003D68DF"/>
    <w:rsid w:val="003F417C"/>
    <w:rsid w:val="00403FB3"/>
    <w:rsid w:val="00420759"/>
    <w:rsid w:val="0042116F"/>
    <w:rsid w:val="00426773"/>
    <w:rsid w:val="0043240E"/>
    <w:rsid w:val="004356F7"/>
    <w:rsid w:val="00456ABB"/>
    <w:rsid w:val="004808A8"/>
    <w:rsid w:val="00492981"/>
    <w:rsid w:val="00494950"/>
    <w:rsid w:val="004A47D1"/>
    <w:rsid w:val="004A6B6B"/>
    <w:rsid w:val="004C393C"/>
    <w:rsid w:val="004C4280"/>
    <w:rsid w:val="004D4AEB"/>
    <w:rsid w:val="004D4D4F"/>
    <w:rsid w:val="004E0E63"/>
    <w:rsid w:val="004E6C85"/>
    <w:rsid w:val="00501044"/>
    <w:rsid w:val="005033B7"/>
    <w:rsid w:val="00506689"/>
    <w:rsid w:val="0051258C"/>
    <w:rsid w:val="00573C72"/>
    <w:rsid w:val="00574D3F"/>
    <w:rsid w:val="00586905"/>
    <w:rsid w:val="005913C2"/>
    <w:rsid w:val="005A0187"/>
    <w:rsid w:val="005A4DBF"/>
    <w:rsid w:val="005A61CC"/>
    <w:rsid w:val="005C6ADC"/>
    <w:rsid w:val="005C6B3E"/>
    <w:rsid w:val="005F037B"/>
    <w:rsid w:val="005F4DB0"/>
    <w:rsid w:val="00613798"/>
    <w:rsid w:val="00613874"/>
    <w:rsid w:val="00623BC5"/>
    <w:rsid w:val="00625909"/>
    <w:rsid w:val="006360BD"/>
    <w:rsid w:val="006477E7"/>
    <w:rsid w:val="00651D1C"/>
    <w:rsid w:val="006724EF"/>
    <w:rsid w:val="006728F5"/>
    <w:rsid w:val="006A2290"/>
    <w:rsid w:val="006B2E1C"/>
    <w:rsid w:val="006C0C8C"/>
    <w:rsid w:val="006C4E21"/>
    <w:rsid w:val="006E46E2"/>
    <w:rsid w:val="006E73CE"/>
    <w:rsid w:val="00705133"/>
    <w:rsid w:val="007314A1"/>
    <w:rsid w:val="00742EB6"/>
    <w:rsid w:val="00744674"/>
    <w:rsid w:val="00771B68"/>
    <w:rsid w:val="0077751C"/>
    <w:rsid w:val="00780D21"/>
    <w:rsid w:val="007811E4"/>
    <w:rsid w:val="007857C0"/>
    <w:rsid w:val="007A0CDD"/>
    <w:rsid w:val="007D661B"/>
    <w:rsid w:val="007E4ACD"/>
    <w:rsid w:val="007E64E9"/>
    <w:rsid w:val="007F0A1D"/>
    <w:rsid w:val="007F3B96"/>
    <w:rsid w:val="0083326A"/>
    <w:rsid w:val="008356C2"/>
    <w:rsid w:val="00846637"/>
    <w:rsid w:val="00855821"/>
    <w:rsid w:val="00870B31"/>
    <w:rsid w:val="00871EEC"/>
    <w:rsid w:val="00881C07"/>
    <w:rsid w:val="00881E10"/>
    <w:rsid w:val="0088799E"/>
    <w:rsid w:val="00892406"/>
    <w:rsid w:val="0089512B"/>
    <w:rsid w:val="008B1170"/>
    <w:rsid w:val="008B21A7"/>
    <w:rsid w:val="008D153C"/>
    <w:rsid w:val="008D4EE8"/>
    <w:rsid w:val="008F53EA"/>
    <w:rsid w:val="00901DE7"/>
    <w:rsid w:val="00906786"/>
    <w:rsid w:val="009364BC"/>
    <w:rsid w:val="00940283"/>
    <w:rsid w:val="00950240"/>
    <w:rsid w:val="00952D7C"/>
    <w:rsid w:val="009633D9"/>
    <w:rsid w:val="00975ED3"/>
    <w:rsid w:val="0097766A"/>
    <w:rsid w:val="00984694"/>
    <w:rsid w:val="009963C2"/>
    <w:rsid w:val="009A36E6"/>
    <w:rsid w:val="009B04F3"/>
    <w:rsid w:val="009C1248"/>
    <w:rsid w:val="009C4B8C"/>
    <w:rsid w:val="009D06C9"/>
    <w:rsid w:val="009D100E"/>
    <w:rsid w:val="009E4EE2"/>
    <w:rsid w:val="00A17FAE"/>
    <w:rsid w:val="00A21DA8"/>
    <w:rsid w:val="00A26EDD"/>
    <w:rsid w:val="00A27ECB"/>
    <w:rsid w:val="00A3295D"/>
    <w:rsid w:val="00A67D58"/>
    <w:rsid w:val="00A83AD0"/>
    <w:rsid w:val="00A87F74"/>
    <w:rsid w:val="00A92856"/>
    <w:rsid w:val="00AB328E"/>
    <w:rsid w:val="00AE7A2E"/>
    <w:rsid w:val="00AF1234"/>
    <w:rsid w:val="00B020D5"/>
    <w:rsid w:val="00B12998"/>
    <w:rsid w:val="00B27E32"/>
    <w:rsid w:val="00B40CBD"/>
    <w:rsid w:val="00B53384"/>
    <w:rsid w:val="00B61475"/>
    <w:rsid w:val="00BB1056"/>
    <w:rsid w:val="00BC204A"/>
    <w:rsid w:val="00BC757B"/>
    <w:rsid w:val="00BD1A78"/>
    <w:rsid w:val="00BE0B78"/>
    <w:rsid w:val="00BE1545"/>
    <w:rsid w:val="00BF23ED"/>
    <w:rsid w:val="00C054A3"/>
    <w:rsid w:val="00C36B5B"/>
    <w:rsid w:val="00C44682"/>
    <w:rsid w:val="00C5015C"/>
    <w:rsid w:val="00C52982"/>
    <w:rsid w:val="00C66D69"/>
    <w:rsid w:val="00CA613C"/>
    <w:rsid w:val="00CB3C62"/>
    <w:rsid w:val="00CC0865"/>
    <w:rsid w:val="00CC664D"/>
    <w:rsid w:val="00CC6892"/>
    <w:rsid w:val="00CE1B96"/>
    <w:rsid w:val="00CE72D0"/>
    <w:rsid w:val="00CF2729"/>
    <w:rsid w:val="00D12BBD"/>
    <w:rsid w:val="00D24FF0"/>
    <w:rsid w:val="00D315CA"/>
    <w:rsid w:val="00D51206"/>
    <w:rsid w:val="00D578FB"/>
    <w:rsid w:val="00D75E63"/>
    <w:rsid w:val="00D7690E"/>
    <w:rsid w:val="00D8757E"/>
    <w:rsid w:val="00D93875"/>
    <w:rsid w:val="00D9579C"/>
    <w:rsid w:val="00D9637F"/>
    <w:rsid w:val="00DA1F32"/>
    <w:rsid w:val="00DC3A2B"/>
    <w:rsid w:val="00DC3CE7"/>
    <w:rsid w:val="00DC7C1D"/>
    <w:rsid w:val="00DD0820"/>
    <w:rsid w:val="00DD16CC"/>
    <w:rsid w:val="00DD5E1E"/>
    <w:rsid w:val="00DF3300"/>
    <w:rsid w:val="00E03FC3"/>
    <w:rsid w:val="00E21A01"/>
    <w:rsid w:val="00E21DFF"/>
    <w:rsid w:val="00E51EA7"/>
    <w:rsid w:val="00E553C0"/>
    <w:rsid w:val="00E6190E"/>
    <w:rsid w:val="00E66860"/>
    <w:rsid w:val="00E83E01"/>
    <w:rsid w:val="00E8469D"/>
    <w:rsid w:val="00E972B6"/>
    <w:rsid w:val="00EA42D3"/>
    <w:rsid w:val="00EB05FB"/>
    <w:rsid w:val="00EB5586"/>
    <w:rsid w:val="00EC6018"/>
    <w:rsid w:val="00F036C9"/>
    <w:rsid w:val="00F06EF8"/>
    <w:rsid w:val="00F10E81"/>
    <w:rsid w:val="00F2475D"/>
    <w:rsid w:val="00F2605B"/>
    <w:rsid w:val="00F43097"/>
    <w:rsid w:val="00F523EB"/>
    <w:rsid w:val="00F61EA1"/>
    <w:rsid w:val="00FA38EE"/>
    <w:rsid w:val="00FC45DB"/>
    <w:rsid w:val="00FC6280"/>
    <w:rsid w:val="00FD4B82"/>
    <w:rsid w:val="00FE0192"/>
    <w:rsid w:val="00FE1942"/>
    <w:rsid w:val="00FF66CE"/>
    <w:rsid w:val="01057174"/>
    <w:rsid w:val="010C0BBA"/>
    <w:rsid w:val="010D6029"/>
    <w:rsid w:val="01115B19"/>
    <w:rsid w:val="01134AA8"/>
    <w:rsid w:val="011E3D92"/>
    <w:rsid w:val="01205D5C"/>
    <w:rsid w:val="012130B7"/>
    <w:rsid w:val="01241B47"/>
    <w:rsid w:val="012F2443"/>
    <w:rsid w:val="01304EF9"/>
    <w:rsid w:val="01390BCC"/>
    <w:rsid w:val="013A06CB"/>
    <w:rsid w:val="013D4B60"/>
    <w:rsid w:val="013E61E2"/>
    <w:rsid w:val="01401F5A"/>
    <w:rsid w:val="01415CD2"/>
    <w:rsid w:val="01423F24"/>
    <w:rsid w:val="01462B1A"/>
    <w:rsid w:val="014A32CD"/>
    <w:rsid w:val="014D28C9"/>
    <w:rsid w:val="01506DBF"/>
    <w:rsid w:val="01530F7A"/>
    <w:rsid w:val="015857F9"/>
    <w:rsid w:val="015B31A7"/>
    <w:rsid w:val="01675739"/>
    <w:rsid w:val="0168325F"/>
    <w:rsid w:val="016B6F35"/>
    <w:rsid w:val="016E5CDC"/>
    <w:rsid w:val="01714809"/>
    <w:rsid w:val="017947CD"/>
    <w:rsid w:val="017B7436"/>
    <w:rsid w:val="018207C5"/>
    <w:rsid w:val="01826A17"/>
    <w:rsid w:val="0185113A"/>
    <w:rsid w:val="0187402D"/>
    <w:rsid w:val="01880B03"/>
    <w:rsid w:val="018A7679"/>
    <w:rsid w:val="018B23A4"/>
    <w:rsid w:val="018C519F"/>
    <w:rsid w:val="01906EF6"/>
    <w:rsid w:val="019462B4"/>
    <w:rsid w:val="01967485"/>
    <w:rsid w:val="01981D96"/>
    <w:rsid w:val="019B2F1C"/>
    <w:rsid w:val="019B53E2"/>
    <w:rsid w:val="019D73AC"/>
    <w:rsid w:val="019E3125"/>
    <w:rsid w:val="019F1377"/>
    <w:rsid w:val="019F2912"/>
    <w:rsid w:val="01A71FD9"/>
    <w:rsid w:val="01A8508C"/>
    <w:rsid w:val="01A97CA5"/>
    <w:rsid w:val="01AA1AC9"/>
    <w:rsid w:val="01AB4ACA"/>
    <w:rsid w:val="01AC2231"/>
    <w:rsid w:val="01B24B59"/>
    <w:rsid w:val="01B446A9"/>
    <w:rsid w:val="01B666C0"/>
    <w:rsid w:val="01B82438"/>
    <w:rsid w:val="01BB7833"/>
    <w:rsid w:val="01BF37C7"/>
    <w:rsid w:val="01C008C7"/>
    <w:rsid w:val="01C524C6"/>
    <w:rsid w:val="01C547E5"/>
    <w:rsid w:val="01CC7C92"/>
    <w:rsid w:val="01CE27BC"/>
    <w:rsid w:val="01D31020"/>
    <w:rsid w:val="01D46B46"/>
    <w:rsid w:val="01D97D93"/>
    <w:rsid w:val="01E4322D"/>
    <w:rsid w:val="01E61098"/>
    <w:rsid w:val="01E70DA9"/>
    <w:rsid w:val="01E7687A"/>
    <w:rsid w:val="01EA2D73"/>
    <w:rsid w:val="01F359B4"/>
    <w:rsid w:val="01F91C73"/>
    <w:rsid w:val="0200324D"/>
    <w:rsid w:val="02050D89"/>
    <w:rsid w:val="02056D00"/>
    <w:rsid w:val="02070CCA"/>
    <w:rsid w:val="02096CC0"/>
    <w:rsid w:val="020E2058"/>
    <w:rsid w:val="02151639"/>
    <w:rsid w:val="02182ED7"/>
    <w:rsid w:val="02186A33"/>
    <w:rsid w:val="02204B8A"/>
    <w:rsid w:val="02255605"/>
    <w:rsid w:val="022573A2"/>
    <w:rsid w:val="022E27FA"/>
    <w:rsid w:val="02300F8D"/>
    <w:rsid w:val="02315320"/>
    <w:rsid w:val="02325087"/>
    <w:rsid w:val="023A109F"/>
    <w:rsid w:val="02473566"/>
    <w:rsid w:val="0248002F"/>
    <w:rsid w:val="024B505A"/>
    <w:rsid w:val="02511505"/>
    <w:rsid w:val="02522AD6"/>
    <w:rsid w:val="0252722A"/>
    <w:rsid w:val="02541709"/>
    <w:rsid w:val="02545262"/>
    <w:rsid w:val="025A529E"/>
    <w:rsid w:val="025B54E1"/>
    <w:rsid w:val="025F0B06"/>
    <w:rsid w:val="026150AE"/>
    <w:rsid w:val="02644EA8"/>
    <w:rsid w:val="02664544"/>
    <w:rsid w:val="02684090"/>
    <w:rsid w:val="02692D0C"/>
    <w:rsid w:val="026A1F31"/>
    <w:rsid w:val="026A7614"/>
    <w:rsid w:val="026B0005"/>
    <w:rsid w:val="026C2CD1"/>
    <w:rsid w:val="026C4FD1"/>
    <w:rsid w:val="02702D13"/>
    <w:rsid w:val="027520D7"/>
    <w:rsid w:val="027619AC"/>
    <w:rsid w:val="02777BFD"/>
    <w:rsid w:val="027A0E14"/>
    <w:rsid w:val="027C01A6"/>
    <w:rsid w:val="027F2F56"/>
    <w:rsid w:val="02832A46"/>
    <w:rsid w:val="02841BA1"/>
    <w:rsid w:val="0284302B"/>
    <w:rsid w:val="0289085D"/>
    <w:rsid w:val="028B5EE0"/>
    <w:rsid w:val="028D7421"/>
    <w:rsid w:val="029C1412"/>
    <w:rsid w:val="02A00385"/>
    <w:rsid w:val="02A07AE6"/>
    <w:rsid w:val="02A12ECC"/>
    <w:rsid w:val="02A27FEB"/>
    <w:rsid w:val="02A429BD"/>
    <w:rsid w:val="02A62291"/>
    <w:rsid w:val="02AB5AF9"/>
    <w:rsid w:val="02AB6BC3"/>
    <w:rsid w:val="02AF02DD"/>
    <w:rsid w:val="02B04EBD"/>
    <w:rsid w:val="02B25434"/>
    <w:rsid w:val="02B32A51"/>
    <w:rsid w:val="02BC659C"/>
    <w:rsid w:val="02BD75DA"/>
    <w:rsid w:val="02C165CD"/>
    <w:rsid w:val="02C63A8E"/>
    <w:rsid w:val="02C7641E"/>
    <w:rsid w:val="02CB1CF7"/>
    <w:rsid w:val="02CC7047"/>
    <w:rsid w:val="02CD5A6F"/>
    <w:rsid w:val="02D23086"/>
    <w:rsid w:val="02D94456"/>
    <w:rsid w:val="02DA4630"/>
    <w:rsid w:val="02DC63AA"/>
    <w:rsid w:val="02DE537E"/>
    <w:rsid w:val="02DE7C7D"/>
    <w:rsid w:val="02E17008"/>
    <w:rsid w:val="02E42FCA"/>
    <w:rsid w:val="02E828A9"/>
    <w:rsid w:val="02E86F80"/>
    <w:rsid w:val="02E9543A"/>
    <w:rsid w:val="02ED7EC0"/>
    <w:rsid w:val="02EE5BAD"/>
    <w:rsid w:val="02F05C02"/>
    <w:rsid w:val="02F079B0"/>
    <w:rsid w:val="02F24EE2"/>
    <w:rsid w:val="02F42606"/>
    <w:rsid w:val="02F474A0"/>
    <w:rsid w:val="02F81CCE"/>
    <w:rsid w:val="02F94BC3"/>
    <w:rsid w:val="02FA25DD"/>
    <w:rsid w:val="030376E3"/>
    <w:rsid w:val="03044E5C"/>
    <w:rsid w:val="03063933"/>
    <w:rsid w:val="03192A63"/>
    <w:rsid w:val="03195159"/>
    <w:rsid w:val="03196F07"/>
    <w:rsid w:val="03263269"/>
    <w:rsid w:val="032B09E8"/>
    <w:rsid w:val="032C298F"/>
    <w:rsid w:val="032E20C3"/>
    <w:rsid w:val="032F46D3"/>
    <w:rsid w:val="03305FFE"/>
    <w:rsid w:val="033E5BEA"/>
    <w:rsid w:val="033F7E69"/>
    <w:rsid w:val="03436045"/>
    <w:rsid w:val="034675D0"/>
    <w:rsid w:val="034B672F"/>
    <w:rsid w:val="034F0B7A"/>
    <w:rsid w:val="034F6D50"/>
    <w:rsid w:val="034F748D"/>
    <w:rsid w:val="0355045A"/>
    <w:rsid w:val="03555015"/>
    <w:rsid w:val="0356083A"/>
    <w:rsid w:val="03563CB7"/>
    <w:rsid w:val="03574393"/>
    <w:rsid w:val="035937A7"/>
    <w:rsid w:val="035B751F"/>
    <w:rsid w:val="035C7A7E"/>
    <w:rsid w:val="035D0350"/>
    <w:rsid w:val="03604B36"/>
    <w:rsid w:val="03675EC4"/>
    <w:rsid w:val="036A59B4"/>
    <w:rsid w:val="036A7B3F"/>
    <w:rsid w:val="036B5288"/>
    <w:rsid w:val="036B77DB"/>
    <w:rsid w:val="03767EB5"/>
    <w:rsid w:val="037F2653"/>
    <w:rsid w:val="03842506"/>
    <w:rsid w:val="0385459C"/>
    <w:rsid w:val="0386702E"/>
    <w:rsid w:val="038A247B"/>
    <w:rsid w:val="038A570F"/>
    <w:rsid w:val="038A7F99"/>
    <w:rsid w:val="039C5442"/>
    <w:rsid w:val="03A10E4B"/>
    <w:rsid w:val="03A63271"/>
    <w:rsid w:val="03AA4003"/>
    <w:rsid w:val="03AE0EEA"/>
    <w:rsid w:val="03B17AEA"/>
    <w:rsid w:val="03B34AB0"/>
    <w:rsid w:val="03B40C48"/>
    <w:rsid w:val="03B66504"/>
    <w:rsid w:val="03B72CE9"/>
    <w:rsid w:val="03BC587D"/>
    <w:rsid w:val="03BF570A"/>
    <w:rsid w:val="03C00CC0"/>
    <w:rsid w:val="03C354C4"/>
    <w:rsid w:val="03C56113"/>
    <w:rsid w:val="03C66B71"/>
    <w:rsid w:val="03C76963"/>
    <w:rsid w:val="03CA1FAF"/>
    <w:rsid w:val="03CD4055"/>
    <w:rsid w:val="03CF064F"/>
    <w:rsid w:val="03D234B0"/>
    <w:rsid w:val="03D270B5"/>
    <w:rsid w:val="03D472D2"/>
    <w:rsid w:val="03D64DF8"/>
    <w:rsid w:val="03D77B22"/>
    <w:rsid w:val="03D9719B"/>
    <w:rsid w:val="03DD6186"/>
    <w:rsid w:val="03DF12E7"/>
    <w:rsid w:val="03E040DD"/>
    <w:rsid w:val="03E2532E"/>
    <w:rsid w:val="03E26A9D"/>
    <w:rsid w:val="03E868D9"/>
    <w:rsid w:val="03F55C98"/>
    <w:rsid w:val="03F67248"/>
    <w:rsid w:val="03FB121D"/>
    <w:rsid w:val="03FB60B7"/>
    <w:rsid w:val="03FB660C"/>
    <w:rsid w:val="04034254"/>
    <w:rsid w:val="04034D16"/>
    <w:rsid w:val="040556DD"/>
    <w:rsid w:val="04082B2E"/>
    <w:rsid w:val="040C6A6B"/>
    <w:rsid w:val="040E4C87"/>
    <w:rsid w:val="040E6340"/>
    <w:rsid w:val="04180F6C"/>
    <w:rsid w:val="041A739C"/>
    <w:rsid w:val="041D47D5"/>
    <w:rsid w:val="041E22FB"/>
    <w:rsid w:val="041F5699"/>
    <w:rsid w:val="04206073"/>
    <w:rsid w:val="04211AD1"/>
    <w:rsid w:val="04212187"/>
    <w:rsid w:val="042711AF"/>
    <w:rsid w:val="04273BA4"/>
    <w:rsid w:val="04275653"/>
    <w:rsid w:val="04281793"/>
    <w:rsid w:val="042C5A7D"/>
    <w:rsid w:val="042D41EE"/>
    <w:rsid w:val="042D5E11"/>
    <w:rsid w:val="042E632F"/>
    <w:rsid w:val="0432329F"/>
    <w:rsid w:val="043438CC"/>
    <w:rsid w:val="04351B1E"/>
    <w:rsid w:val="04362BB9"/>
    <w:rsid w:val="0442178E"/>
    <w:rsid w:val="04461C11"/>
    <w:rsid w:val="0446766D"/>
    <w:rsid w:val="04497378"/>
    <w:rsid w:val="044C2700"/>
    <w:rsid w:val="044D6B6E"/>
    <w:rsid w:val="044E2BE0"/>
    <w:rsid w:val="044F7C53"/>
    <w:rsid w:val="04536448"/>
    <w:rsid w:val="04583A5F"/>
    <w:rsid w:val="04583BF9"/>
    <w:rsid w:val="0459308B"/>
    <w:rsid w:val="045A35FD"/>
    <w:rsid w:val="045D6F7A"/>
    <w:rsid w:val="046125A0"/>
    <w:rsid w:val="046232FA"/>
    <w:rsid w:val="04636922"/>
    <w:rsid w:val="04673CA2"/>
    <w:rsid w:val="04682F74"/>
    <w:rsid w:val="046B7FE6"/>
    <w:rsid w:val="046E3282"/>
    <w:rsid w:val="04711645"/>
    <w:rsid w:val="0472779E"/>
    <w:rsid w:val="04753AD2"/>
    <w:rsid w:val="04806B11"/>
    <w:rsid w:val="048B7990"/>
    <w:rsid w:val="048E7C1B"/>
    <w:rsid w:val="049031F8"/>
    <w:rsid w:val="04910BDF"/>
    <w:rsid w:val="049727D9"/>
    <w:rsid w:val="049C65F9"/>
    <w:rsid w:val="049E2811"/>
    <w:rsid w:val="04A35176"/>
    <w:rsid w:val="04A80790"/>
    <w:rsid w:val="04A865C0"/>
    <w:rsid w:val="04A96068"/>
    <w:rsid w:val="04AE7B23"/>
    <w:rsid w:val="04AF0113"/>
    <w:rsid w:val="04B073F7"/>
    <w:rsid w:val="04B52CFF"/>
    <w:rsid w:val="04B73B00"/>
    <w:rsid w:val="04BA0275"/>
    <w:rsid w:val="04BA2023"/>
    <w:rsid w:val="04C3017D"/>
    <w:rsid w:val="04C42DA9"/>
    <w:rsid w:val="04C85D7C"/>
    <w:rsid w:val="04CD61FB"/>
    <w:rsid w:val="04D01847"/>
    <w:rsid w:val="04D1736D"/>
    <w:rsid w:val="04D23811"/>
    <w:rsid w:val="04D255BF"/>
    <w:rsid w:val="04D31337"/>
    <w:rsid w:val="04DE069B"/>
    <w:rsid w:val="04DF2B91"/>
    <w:rsid w:val="04DF6C8C"/>
    <w:rsid w:val="04E83035"/>
    <w:rsid w:val="04E86B91"/>
    <w:rsid w:val="04EA21F5"/>
    <w:rsid w:val="04EC4753"/>
    <w:rsid w:val="04F11AE1"/>
    <w:rsid w:val="04F710DB"/>
    <w:rsid w:val="04FC263C"/>
    <w:rsid w:val="04FC6AE0"/>
    <w:rsid w:val="04FF08E0"/>
    <w:rsid w:val="05017C52"/>
    <w:rsid w:val="05025778"/>
    <w:rsid w:val="050414F1"/>
    <w:rsid w:val="05096268"/>
    <w:rsid w:val="050C7784"/>
    <w:rsid w:val="050D40FB"/>
    <w:rsid w:val="050E236F"/>
    <w:rsid w:val="050E411D"/>
    <w:rsid w:val="050F75B9"/>
    <w:rsid w:val="05117185"/>
    <w:rsid w:val="05184F9C"/>
    <w:rsid w:val="05191440"/>
    <w:rsid w:val="05193D11"/>
    <w:rsid w:val="05196B38"/>
    <w:rsid w:val="051A2AEF"/>
    <w:rsid w:val="052221B5"/>
    <w:rsid w:val="052D66BF"/>
    <w:rsid w:val="052F5552"/>
    <w:rsid w:val="05343A38"/>
    <w:rsid w:val="053973EC"/>
    <w:rsid w:val="053C0C8A"/>
    <w:rsid w:val="053D47E6"/>
    <w:rsid w:val="053D7457"/>
    <w:rsid w:val="053E0EA6"/>
    <w:rsid w:val="05404C1F"/>
    <w:rsid w:val="0542770C"/>
    <w:rsid w:val="05486BAC"/>
    <w:rsid w:val="054A15F9"/>
    <w:rsid w:val="054B1041"/>
    <w:rsid w:val="054B711F"/>
    <w:rsid w:val="054C2543"/>
    <w:rsid w:val="054E4331"/>
    <w:rsid w:val="054F6115"/>
    <w:rsid w:val="054F6D30"/>
    <w:rsid w:val="05500BDA"/>
    <w:rsid w:val="0551465B"/>
    <w:rsid w:val="055661F0"/>
    <w:rsid w:val="055C30DB"/>
    <w:rsid w:val="05600E1D"/>
    <w:rsid w:val="056106F1"/>
    <w:rsid w:val="056401E1"/>
    <w:rsid w:val="056567AD"/>
    <w:rsid w:val="05665CA4"/>
    <w:rsid w:val="0568785E"/>
    <w:rsid w:val="056A43BE"/>
    <w:rsid w:val="056A57F8"/>
    <w:rsid w:val="056D178C"/>
    <w:rsid w:val="056E08C6"/>
    <w:rsid w:val="05704312"/>
    <w:rsid w:val="05733A9C"/>
    <w:rsid w:val="05735E79"/>
    <w:rsid w:val="05746676"/>
    <w:rsid w:val="057600B8"/>
    <w:rsid w:val="057678D6"/>
    <w:rsid w:val="057D55C6"/>
    <w:rsid w:val="05834800"/>
    <w:rsid w:val="05850883"/>
    <w:rsid w:val="058645FB"/>
    <w:rsid w:val="058B02C8"/>
    <w:rsid w:val="058B39C0"/>
    <w:rsid w:val="058B6AC3"/>
    <w:rsid w:val="058F525E"/>
    <w:rsid w:val="05952BB4"/>
    <w:rsid w:val="059705B7"/>
    <w:rsid w:val="059D42E0"/>
    <w:rsid w:val="05A14F91"/>
    <w:rsid w:val="05A51C0E"/>
    <w:rsid w:val="05A54A82"/>
    <w:rsid w:val="05A56D21"/>
    <w:rsid w:val="05A625A8"/>
    <w:rsid w:val="05A91A38"/>
    <w:rsid w:val="05AF60B3"/>
    <w:rsid w:val="05B13426"/>
    <w:rsid w:val="05B17C87"/>
    <w:rsid w:val="05B74A08"/>
    <w:rsid w:val="05B8188E"/>
    <w:rsid w:val="05B922DB"/>
    <w:rsid w:val="05BB24F7"/>
    <w:rsid w:val="05C122D5"/>
    <w:rsid w:val="05C649F8"/>
    <w:rsid w:val="05C814D1"/>
    <w:rsid w:val="05C834A7"/>
    <w:rsid w:val="05CA44E8"/>
    <w:rsid w:val="05D47115"/>
    <w:rsid w:val="05D72BD0"/>
    <w:rsid w:val="05D76C05"/>
    <w:rsid w:val="05DC29A4"/>
    <w:rsid w:val="05DD06BF"/>
    <w:rsid w:val="05DD2267"/>
    <w:rsid w:val="05DD4968"/>
    <w:rsid w:val="05DE188C"/>
    <w:rsid w:val="05E42D84"/>
    <w:rsid w:val="05E76E48"/>
    <w:rsid w:val="05EA4B8A"/>
    <w:rsid w:val="05F72E03"/>
    <w:rsid w:val="05F77C95"/>
    <w:rsid w:val="05FA2D2F"/>
    <w:rsid w:val="05FA4499"/>
    <w:rsid w:val="05FB2E3E"/>
    <w:rsid w:val="05FF21E1"/>
    <w:rsid w:val="06020126"/>
    <w:rsid w:val="0605310A"/>
    <w:rsid w:val="06053772"/>
    <w:rsid w:val="06104755"/>
    <w:rsid w:val="061439B5"/>
    <w:rsid w:val="06161733"/>
    <w:rsid w:val="061834A6"/>
    <w:rsid w:val="061C2E6D"/>
    <w:rsid w:val="061D6D0E"/>
    <w:rsid w:val="062005AC"/>
    <w:rsid w:val="06201021"/>
    <w:rsid w:val="06282B9E"/>
    <w:rsid w:val="062A343F"/>
    <w:rsid w:val="062B579D"/>
    <w:rsid w:val="062E0F1B"/>
    <w:rsid w:val="062E4A77"/>
    <w:rsid w:val="06325688"/>
    <w:rsid w:val="06331CDB"/>
    <w:rsid w:val="06361B7E"/>
    <w:rsid w:val="063D2F0C"/>
    <w:rsid w:val="063D4CBA"/>
    <w:rsid w:val="063E5129"/>
    <w:rsid w:val="064008ED"/>
    <w:rsid w:val="06415F8F"/>
    <w:rsid w:val="06420522"/>
    <w:rsid w:val="06422DE2"/>
    <w:rsid w:val="06456265"/>
    <w:rsid w:val="06471FDD"/>
    <w:rsid w:val="06472967"/>
    <w:rsid w:val="064E1C81"/>
    <w:rsid w:val="064F499F"/>
    <w:rsid w:val="065670BE"/>
    <w:rsid w:val="065A7D0A"/>
    <w:rsid w:val="06604E4C"/>
    <w:rsid w:val="06672D9E"/>
    <w:rsid w:val="06677F89"/>
    <w:rsid w:val="06691F53"/>
    <w:rsid w:val="066B1A9A"/>
    <w:rsid w:val="067304F4"/>
    <w:rsid w:val="0674157E"/>
    <w:rsid w:val="067B3A34"/>
    <w:rsid w:val="067C2D61"/>
    <w:rsid w:val="067D3496"/>
    <w:rsid w:val="06815DBB"/>
    <w:rsid w:val="06862B05"/>
    <w:rsid w:val="06874187"/>
    <w:rsid w:val="0689371A"/>
    <w:rsid w:val="068B693D"/>
    <w:rsid w:val="06911A77"/>
    <w:rsid w:val="06917809"/>
    <w:rsid w:val="069B7776"/>
    <w:rsid w:val="069D1BFD"/>
    <w:rsid w:val="069F3FEC"/>
    <w:rsid w:val="06A25465"/>
    <w:rsid w:val="06A42631"/>
    <w:rsid w:val="06B1066D"/>
    <w:rsid w:val="06BC4119"/>
    <w:rsid w:val="06BC6527"/>
    <w:rsid w:val="06BF1B73"/>
    <w:rsid w:val="06BF3AAB"/>
    <w:rsid w:val="06D51397"/>
    <w:rsid w:val="06DC2616"/>
    <w:rsid w:val="06DE46EF"/>
    <w:rsid w:val="06E23AB3"/>
    <w:rsid w:val="06EA6EE5"/>
    <w:rsid w:val="06EB0BBA"/>
    <w:rsid w:val="06ED4B55"/>
    <w:rsid w:val="06ED78F7"/>
    <w:rsid w:val="06F4507E"/>
    <w:rsid w:val="06FC6923"/>
    <w:rsid w:val="07000960"/>
    <w:rsid w:val="07040309"/>
    <w:rsid w:val="07051DF2"/>
    <w:rsid w:val="07061550"/>
    <w:rsid w:val="070677A2"/>
    <w:rsid w:val="0708176C"/>
    <w:rsid w:val="07091040"/>
    <w:rsid w:val="070F2391"/>
    <w:rsid w:val="07135C73"/>
    <w:rsid w:val="07153E89"/>
    <w:rsid w:val="071719AF"/>
    <w:rsid w:val="071776B0"/>
    <w:rsid w:val="071D689A"/>
    <w:rsid w:val="0721282E"/>
    <w:rsid w:val="072307B7"/>
    <w:rsid w:val="072357CC"/>
    <w:rsid w:val="072531B7"/>
    <w:rsid w:val="07283BBC"/>
    <w:rsid w:val="0728596A"/>
    <w:rsid w:val="07302A71"/>
    <w:rsid w:val="0737795B"/>
    <w:rsid w:val="073C7668"/>
    <w:rsid w:val="07487DBA"/>
    <w:rsid w:val="074B78AB"/>
    <w:rsid w:val="07520C39"/>
    <w:rsid w:val="07527988"/>
    <w:rsid w:val="07550729"/>
    <w:rsid w:val="075524D7"/>
    <w:rsid w:val="075D6382"/>
    <w:rsid w:val="076444C8"/>
    <w:rsid w:val="07660241"/>
    <w:rsid w:val="07686171"/>
    <w:rsid w:val="07722B6E"/>
    <w:rsid w:val="0772692E"/>
    <w:rsid w:val="0775314C"/>
    <w:rsid w:val="07762B7A"/>
    <w:rsid w:val="07787E99"/>
    <w:rsid w:val="077961C6"/>
    <w:rsid w:val="077E4687"/>
    <w:rsid w:val="07816C75"/>
    <w:rsid w:val="07833FB5"/>
    <w:rsid w:val="078C79FB"/>
    <w:rsid w:val="078F24A7"/>
    <w:rsid w:val="078F7797"/>
    <w:rsid w:val="0790350F"/>
    <w:rsid w:val="07943000"/>
    <w:rsid w:val="07977992"/>
    <w:rsid w:val="0799576C"/>
    <w:rsid w:val="07A5520D"/>
    <w:rsid w:val="07A61CD9"/>
    <w:rsid w:val="07A64A82"/>
    <w:rsid w:val="07AB186F"/>
    <w:rsid w:val="07AC6113"/>
    <w:rsid w:val="07AE4480"/>
    <w:rsid w:val="07AE5110"/>
    <w:rsid w:val="07B0770E"/>
    <w:rsid w:val="07B23486"/>
    <w:rsid w:val="07B245BD"/>
    <w:rsid w:val="07B446A7"/>
    <w:rsid w:val="07B74F40"/>
    <w:rsid w:val="07BE6DA2"/>
    <w:rsid w:val="07C05BA3"/>
    <w:rsid w:val="07C22C23"/>
    <w:rsid w:val="07C5140B"/>
    <w:rsid w:val="07C5765D"/>
    <w:rsid w:val="07C66F31"/>
    <w:rsid w:val="07C7632C"/>
    <w:rsid w:val="07CD4764"/>
    <w:rsid w:val="07D17DB0"/>
    <w:rsid w:val="07D258D6"/>
    <w:rsid w:val="07D4164E"/>
    <w:rsid w:val="07D52F56"/>
    <w:rsid w:val="07D57174"/>
    <w:rsid w:val="07D73C4A"/>
    <w:rsid w:val="07D96C64"/>
    <w:rsid w:val="07DE1CC2"/>
    <w:rsid w:val="07DF16BB"/>
    <w:rsid w:val="07E13D6B"/>
    <w:rsid w:val="07E2647F"/>
    <w:rsid w:val="07E5423B"/>
    <w:rsid w:val="07E62427"/>
    <w:rsid w:val="07E775D3"/>
    <w:rsid w:val="07ED0962"/>
    <w:rsid w:val="07EE5751"/>
    <w:rsid w:val="07FC0BA5"/>
    <w:rsid w:val="0800089D"/>
    <w:rsid w:val="08025E78"/>
    <w:rsid w:val="08045925"/>
    <w:rsid w:val="0805157B"/>
    <w:rsid w:val="0805797A"/>
    <w:rsid w:val="080737D2"/>
    <w:rsid w:val="08086333"/>
    <w:rsid w:val="080A5070"/>
    <w:rsid w:val="080F72D6"/>
    <w:rsid w:val="08130DB4"/>
    <w:rsid w:val="08145EEF"/>
    <w:rsid w:val="08161CBE"/>
    <w:rsid w:val="081859DF"/>
    <w:rsid w:val="081952B3"/>
    <w:rsid w:val="081D2FF5"/>
    <w:rsid w:val="08253C58"/>
    <w:rsid w:val="082A5712"/>
    <w:rsid w:val="08346591"/>
    <w:rsid w:val="08363BB4"/>
    <w:rsid w:val="08393BA7"/>
    <w:rsid w:val="083A50BC"/>
    <w:rsid w:val="083E265B"/>
    <w:rsid w:val="083F4D57"/>
    <w:rsid w:val="0844373C"/>
    <w:rsid w:val="0845247E"/>
    <w:rsid w:val="08493C1B"/>
    <w:rsid w:val="084F5179"/>
    <w:rsid w:val="08507E4A"/>
    <w:rsid w:val="08514A4D"/>
    <w:rsid w:val="08534C3A"/>
    <w:rsid w:val="08547F55"/>
    <w:rsid w:val="08550BE8"/>
    <w:rsid w:val="08576248"/>
    <w:rsid w:val="0858227F"/>
    <w:rsid w:val="085B3309"/>
    <w:rsid w:val="08681565"/>
    <w:rsid w:val="08691F0A"/>
    <w:rsid w:val="086A3D60"/>
    <w:rsid w:val="086B7960"/>
    <w:rsid w:val="08766BA9"/>
    <w:rsid w:val="087846CF"/>
    <w:rsid w:val="087F5A5E"/>
    <w:rsid w:val="08841607"/>
    <w:rsid w:val="08864AEE"/>
    <w:rsid w:val="08872B64"/>
    <w:rsid w:val="08892439"/>
    <w:rsid w:val="08931509"/>
    <w:rsid w:val="089332B7"/>
    <w:rsid w:val="08935065"/>
    <w:rsid w:val="0894258C"/>
    <w:rsid w:val="089669E7"/>
    <w:rsid w:val="089B1CFF"/>
    <w:rsid w:val="089B6610"/>
    <w:rsid w:val="08A02D8F"/>
    <w:rsid w:val="08A13C26"/>
    <w:rsid w:val="08A170E8"/>
    <w:rsid w:val="08A33CE8"/>
    <w:rsid w:val="08A52038"/>
    <w:rsid w:val="08A53784"/>
    <w:rsid w:val="08A80BF3"/>
    <w:rsid w:val="08A94889"/>
    <w:rsid w:val="08AA5FC1"/>
    <w:rsid w:val="08AD37E9"/>
    <w:rsid w:val="08AD7905"/>
    <w:rsid w:val="08AE198C"/>
    <w:rsid w:val="08B1661A"/>
    <w:rsid w:val="08B22B2A"/>
    <w:rsid w:val="08B9254E"/>
    <w:rsid w:val="08BA4CE8"/>
    <w:rsid w:val="08C23B9D"/>
    <w:rsid w:val="08C276F9"/>
    <w:rsid w:val="08C43EC2"/>
    <w:rsid w:val="08C91840"/>
    <w:rsid w:val="08CA34D3"/>
    <w:rsid w:val="08CA6DC3"/>
    <w:rsid w:val="08CC4A1B"/>
    <w:rsid w:val="08CD362D"/>
    <w:rsid w:val="08D5567E"/>
    <w:rsid w:val="08D579D6"/>
    <w:rsid w:val="08D8516E"/>
    <w:rsid w:val="08D86818"/>
    <w:rsid w:val="08D9797B"/>
    <w:rsid w:val="08DD09D6"/>
    <w:rsid w:val="08E104C7"/>
    <w:rsid w:val="08E41D65"/>
    <w:rsid w:val="08E44ECD"/>
    <w:rsid w:val="08E73603"/>
    <w:rsid w:val="08F24482"/>
    <w:rsid w:val="08F53632"/>
    <w:rsid w:val="08F6501C"/>
    <w:rsid w:val="08FA1588"/>
    <w:rsid w:val="08FD2E27"/>
    <w:rsid w:val="08FD6983"/>
    <w:rsid w:val="09035499"/>
    <w:rsid w:val="090441B5"/>
    <w:rsid w:val="0906715B"/>
    <w:rsid w:val="09091C8C"/>
    <w:rsid w:val="090A3D55"/>
    <w:rsid w:val="090A5711"/>
    <w:rsid w:val="09104908"/>
    <w:rsid w:val="091361A6"/>
    <w:rsid w:val="09163D1B"/>
    <w:rsid w:val="09186A89"/>
    <w:rsid w:val="091C14FF"/>
    <w:rsid w:val="091F4B4B"/>
    <w:rsid w:val="092214B5"/>
    <w:rsid w:val="092520E3"/>
    <w:rsid w:val="092E1232"/>
    <w:rsid w:val="09301E18"/>
    <w:rsid w:val="09385C0D"/>
    <w:rsid w:val="093C56FD"/>
    <w:rsid w:val="093C74AB"/>
    <w:rsid w:val="093E4F0A"/>
    <w:rsid w:val="093E5950"/>
    <w:rsid w:val="093E76C7"/>
    <w:rsid w:val="093F0D49"/>
    <w:rsid w:val="093F6F9B"/>
    <w:rsid w:val="094609AA"/>
    <w:rsid w:val="094F4624"/>
    <w:rsid w:val="095975DA"/>
    <w:rsid w:val="095A6D85"/>
    <w:rsid w:val="095D5673"/>
    <w:rsid w:val="095E551A"/>
    <w:rsid w:val="095F25E0"/>
    <w:rsid w:val="096151DB"/>
    <w:rsid w:val="09616A7E"/>
    <w:rsid w:val="09625180"/>
    <w:rsid w:val="096609CC"/>
    <w:rsid w:val="096B305C"/>
    <w:rsid w:val="097657B0"/>
    <w:rsid w:val="097A6225"/>
    <w:rsid w:val="097B739A"/>
    <w:rsid w:val="098470A4"/>
    <w:rsid w:val="09886B94"/>
    <w:rsid w:val="09896468"/>
    <w:rsid w:val="098A1737"/>
    <w:rsid w:val="098B0432"/>
    <w:rsid w:val="09994B32"/>
    <w:rsid w:val="099A3A5E"/>
    <w:rsid w:val="099B68C7"/>
    <w:rsid w:val="099C43EE"/>
    <w:rsid w:val="09A03EDE"/>
    <w:rsid w:val="09A137B2"/>
    <w:rsid w:val="09A60DC8"/>
    <w:rsid w:val="09AA4C89"/>
    <w:rsid w:val="09AD03A9"/>
    <w:rsid w:val="09AD3F1D"/>
    <w:rsid w:val="09B04A05"/>
    <w:rsid w:val="09B230BD"/>
    <w:rsid w:val="09B463DB"/>
    <w:rsid w:val="09B93488"/>
    <w:rsid w:val="09BB3A1D"/>
    <w:rsid w:val="09BC692F"/>
    <w:rsid w:val="09BF6E69"/>
    <w:rsid w:val="09C0369B"/>
    <w:rsid w:val="09C321A9"/>
    <w:rsid w:val="09C46F5F"/>
    <w:rsid w:val="09C474A0"/>
    <w:rsid w:val="09C6146A"/>
    <w:rsid w:val="09CA2D09"/>
    <w:rsid w:val="09CD0A4B"/>
    <w:rsid w:val="09CF47C3"/>
    <w:rsid w:val="09D678FF"/>
    <w:rsid w:val="09D77460"/>
    <w:rsid w:val="09D9119E"/>
    <w:rsid w:val="09DD68F3"/>
    <w:rsid w:val="09E04091"/>
    <w:rsid w:val="09E15941"/>
    <w:rsid w:val="09E3731F"/>
    <w:rsid w:val="09E57B43"/>
    <w:rsid w:val="09E71B0D"/>
    <w:rsid w:val="09E87633"/>
    <w:rsid w:val="09E922F6"/>
    <w:rsid w:val="09EA33AB"/>
    <w:rsid w:val="09EB1836"/>
    <w:rsid w:val="09EE3266"/>
    <w:rsid w:val="09F75AC8"/>
    <w:rsid w:val="09FA70B5"/>
    <w:rsid w:val="09FB55B8"/>
    <w:rsid w:val="0A03435D"/>
    <w:rsid w:val="0A0C0122"/>
    <w:rsid w:val="0A0C4BEF"/>
    <w:rsid w:val="0A122902"/>
    <w:rsid w:val="0A140428"/>
    <w:rsid w:val="0A16455D"/>
    <w:rsid w:val="0A165F4E"/>
    <w:rsid w:val="0A1B17B6"/>
    <w:rsid w:val="0A1B5ADE"/>
    <w:rsid w:val="0A1C0B85"/>
    <w:rsid w:val="0A1E0595"/>
    <w:rsid w:val="0A213EFD"/>
    <w:rsid w:val="0A21777C"/>
    <w:rsid w:val="0A221E78"/>
    <w:rsid w:val="0A254747"/>
    <w:rsid w:val="0A27622F"/>
    <w:rsid w:val="0A293BF2"/>
    <w:rsid w:val="0A2E773B"/>
    <w:rsid w:val="0A2F7B7E"/>
    <w:rsid w:val="0A305DD2"/>
    <w:rsid w:val="0A3B33A8"/>
    <w:rsid w:val="0A4027CD"/>
    <w:rsid w:val="0A4305A0"/>
    <w:rsid w:val="0A434999"/>
    <w:rsid w:val="0A466107"/>
    <w:rsid w:val="0A4800D1"/>
    <w:rsid w:val="0A482714"/>
    <w:rsid w:val="0A4A3E4A"/>
    <w:rsid w:val="0A4C7BC2"/>
    <w:rsid w:val="0A54630D"/>
    <w:rsid w:val="0A554F38"/>
    <w:rsid w:val="0A5B313C"/>
    <w:rsid w:val="0A5B6432"/>
    <w:rsid w:val="0A5E1635"/>
    <w:rsid w:val="0A60541B"/>
    <w:rsid w:val="0A60771E"/>
    <w:rsid w:val="0A611922"/>
    <w:rsid w:val="0A622F41"/>
    <w:rsid w:val="0A624D41"/>
    <w:rsid w:val="0A68040B"/>
    <w:rsid w:val="0A6A629A"/>
    <w:rsid w:val="0A6D18E6"/>
    <w:rsid w:val="0A71587A"/>
    <w:rsid w:val="0A717628"/>
    <w:rsid w:val="0A720708"/>
    <w:rsid w:val="0A7669ED"/>
    <w:rsid w:val="0A7A5968"/>
    <w:rsid w:val="0A7E3AF3"/>
    <w:rsid w:val="0A801619"/>
    <w:rsid w:val="0A8207CF"/>
    <w:rsid w:val="0A8740E8"/>
    <w:rsid w:val="0A8B6E7A"/>
    <w:rsid w:val="0A933DE7"/>
    <w:rsid w:val="0A99092D"/>
    <w:rsid w:val="0A9B46A5"/>
    <w:rsid w:val="0AA03A6A"/>
    <w:rsid w:val="0AA1213D"/>
    <w:rsid w:val="0AA3053D"/>
    <w:rsid w:val="0AAC78F1"/>
    <w:rsid w:val="0AB13EC9"/>
    <w:rsid w:val="0AB17A25"/>
    <w:rsid w:val="0AB5174B"/>
    <w:rsid w:val="0AB52F0C"/>
    <w:rsid w:val="0AB539B9"/>
    <w:rsid w:val="0AB614DF"/>
    <w:rsid w:val="0AB67AAA"/>
    <w:rsid w:val="0ABA02B2"/>
    <w:rsid w:val="0ABB02FD"/>
    <w:rsid w:val="0ABD286D"/>
    <w:rsid w:val="0AC01DE2"/>
    <w:rsid w:val="0AC27E84"/>
    <w:rsid w:val="0ACA6D38"/>
    <w:rsid w:val="0AD007F3"/>
    <w:rsid w:val="0AD11E75"/>
    <w:rsid w:val="0AD17B67"/>
    <w:rsid w:val="0AD21454"/>
    <w:rsid w:val="0AD448D2"/>
    <w:rsid w:val="0AD83203"/>
    <w:rsid w:val="0AD876A7"/>
    <w:rsid w:val="0ADB50D9"/>
    <w:rsid w:val="0ADD5B52"/>
    <w:rsid w:val="0ADE08AE"/>
    <w:rsid w:val="0ADF4592"/>
    <w:rsid w:val="0AE0030A"/>
    <w:rsid w:val="0AE1357C"/>
    <w:rsid w:val="0AE20526"/>
    <w:rsid w:val="0AE460C6"/>
    <w:rsid w:val="0AE54E11"/>
    <w:rsid w:val="0AEA4F73"/>
    <w:rsid w:val="0AEB3866"/>
    <w:rsid w:val="0AED734F"/>
    <w:rsid w:val="0AF02C43"/>
    <w:rsid w:val="0AF21938"/>
    <w:rsid w:val="0AF53DB5"/>
    <w:rsid w:val="0AF80FDC"/>
    <w:rsid w:val="0AF85654"/>
    <w:rsid w:val="0AF955F7"/>
    <w:rsid w:val="0B000C5A"/>
    <w:rsid w:val="0B0A565B"/>
    <w:rsid w:val="0B14665C"/>
    <w:rsid w:val="0B170314"/>
    <w:rsid w:val="0B183455"/>
    <w:rsid w:val="0B195150"/>
    <w:rsid w:val="0B1A2707"/>
    <w:rsid w:val="0B1A7FDA"/>
    <w:rsid w:val="0B1B1342"/>
    <w:rsid w:val="0B1B773F"/>
    <w:rsid w:val="0B1D2390"/>
    <w:rsid w:val="0B1D7C5B"/>
    <w:rsid w:val="0B1E6D2B"/>
    <w:rsid w:val="0B224DC6"/>
    <w:rsid w:val="0B233E9D"/>
    <w:rsid w:val="0B244517"/>
    <w:rsid w:val="0B294ADC"/>
    <w:rsid w:val="0B297303"/>
    <w:rsid w:val="0B2B4F49"/>
    <w:rsid w:val="0B2B7565"/>
    <w:rsid w:val="0B2C17A1"/>
    <w:rsid w:val="0B310B66"/>
    <w:rsid w:val="0B34474A"/>
    <w:rsid w:val="0B3C19E4"/>
    <w:rsid w:val="0B3D750A"/>
    <w:rsid w:val="0B3E4C5B"/>
    <w:rsid w:val="0B3F3282"/>
    <w:rsid w:val="0B3F59DA"/>
    <w:rsid w:val="0B440899"/>
    <w:rsid w:val="0B446AEB"/>
    <w:rsid w:val="0B4C63BA"/>
    <w:rsid w:val="0B500EF5"/>
    <w:rsid w:val="0B5362E0"/>
    <w:rsid w:val="0B566548"/>
    <w:rsid w:val="0B5C6D71"/>
    <w:rsid w:val="0B5F59A7"/>
    <w:rsid w:val="0B606EA7"/>
    <w:rsid w:val="0B670E58"/>
    <w:rsid w:val="0B674587"/>
    <w:rsid w:val="0B6902FF"/>
    <w:rsid w:val="0B6E3B68"/>
    <w:rsid w:val="0B6E638C"/>
    <w:rsid w:val="0B7F4B2F"/>
    <w:rsid w:val="0B860EB1"/>
    <w:rsid w:val="0B893371"/>
    <w:rsid w:val="0B8B471A"/>
    <w:rsid w:val="0B8D158D"/>
    <w:rsid w:val="0B8E1EB5"/>
    <w:rsid w:val="0B960F84"/>
    <w:rsid w:val="0B974A1F"/>
    <w:rsid w:val="0B985F88"/>
    <w:rsid w:val="0B9962DC"/>
    <w:rsid w:val="0B996E37"/>
    <w:rsid w:val="0B9C06D5"/>
    <w:rsid w:val="0B9D41ED"/>
    <w:rsid w:val="0BA0049C"/>
    <w:rsid w:val="0BA34222"/>
    <w:rsid w:val="0BA4046A"/>
    <w:rsid w:val="0BB04902"/>
    <w:rsid w:val="0BBD71FF"/>
    <w:rsid w:val="0BBE2590"/>
    <w:rsid w:val="0BC03E0B"/>
    <w:rsid w:val="0BC16950"/>
    <w:rsid w:val="0BC84665"/>
    <w:rsid w:val="0BCA3494"/>
    <w:rsid w:val="0BD4059E"/>
    <w:rsid w:val="0BD42F6B"/>
    <w:rsid w:val="0BD9444D"/>
    <w:rsid w:val="0BDC31C7"/>
    <w:rsid w:val="0BDC72AF"/>
    <w:rsid w:val="0BDD4434"/>
    <w:rsid w:val="0BE34556"/>
    <w:rsid w:val="0BE87869"/>
    <w:rsid w:val="0BF027CF"/>
    <w:rsid w:val="0BF24799"/>
    <w:rsid w:val="0BF978D5"/>
    <w:rsid w:val="0BFF6F05"/>
    <w:rsid w:val="0C012C2E"/>
    <w:rsid w:val="0C042324"/>
    <w:rsid w:val="0C08719F"/>
    <w:rsid w:val="0C140DB6"/>
    <w:rsid w:val="0C142401"/>
    <w:rsid w:val="0C155AED"/>
    <w:rsid w:val="0C1741FF"/>
    <w:rsid w:val="0C1B5A9E"/>
    <w:rsid w:val="0C1D3BDD"/>
    <w:rsid w:val="0C2A3F33"/>
    <w:rsid w:val="0C2A61DE"/>
    <w:rsid w:val="0C2F32F7"/>
    <w:rsid w:val="0C2F779B"/>
    <w:rsid w:val="0C324B95"/>
    <w:rsid w:val="0C347A8A"/>
    <w:rsid w:val="0C3A1D75"/>
    <w:rsid w:val="0C3B1C9C"/>
    <w:rsid w:val="0C3F0D16"/>
    <w:rsid w:val="0C3F14E5"/>
    <w:rsid w:val="0C4279D2"/>
    <w:rsid w:val="0C450D6C"/>
    <w:rsid w:val="0C48085D"/>
    <w:rsid w:val="0C4A0F1C"/>
    <w:rsid w:val="0C4A4E8C"/>
    <w:rsid w:val="0C4A6692"/>
    <w:rsid w:val="0C4B6E38"/>
    <w:rsid w:val="0C4C3EA9"/>
    <w:rsid w:val="0C4F3999"/>
    <w:rsid w:val="0C514E23"/>
    <w:rsid w:val="0C550884"/>
    <w:rsid w:val="0C57284E"/>
    <w:rsid w:val="0C5B233E"/>
    <w:rsid w:val="0C5C7E64"/>
    <w:rsid w:val="0C5E17C3"/>
    <w:rsid w:val="0C636533"/>
    <w:rsid w:val="0C660A45"/>
    <w:rsid w:val="0C670C83"/>
    <w:rsid w:val="0C687824"/>
    <w:rsid w:val="0C6A018A"/>
    <w:rsid w:val="0C6D2071"/>
    <w:rsid w:val="0C6E3759"/>
    <w:rsid w:val="0C6F2550"/>
    <w:rsid w:val="0C735804"/>
    <w:rsid w:val="0C741865"/>
    <w:rsid w:val="0C762CD4"/>
    <w:rsid w:val="0C7B29E0"/>
    <w:rsid w:val="0C7E602C"/>
    <w:rsid w:val="0C7F0CC3"/>
    <w:rsid w:val="0C825F9F"/>
    <w:rsid w:val="0C8654B4"/>
    <w:rsid w:val="0C8770A5"/>
    <w:rsid w:val="0C8D658E"/>
    <w:rsid w:val="0C8E2713"/>
    <w:rsid w:val="0C923886"/>
    <w:rsid w:val="0C9413AC"/>
    <w:rsid w:val="0C9F0527"/>
    <w:rsid w:val="0CA02447"/>
    <w:rsid w:val="0CA51407"/>
    <w:rsid w:val="0CA835B7"/>
    <w:rsid w:val="0CAF4315"/>
    <w:rsid w:val="0CB11F5E"/>
    <w:rsid w:val="0CB22B0E"/>
    <w:rsid w:val="0CB35CD6"/>
    <w:rsid w:val="0CB97065"/>
    <w:rsid w:val="0CB97FA9"/>
    <w:rsid w:val="0CC31AF3"/>
    <w:rsid w:val="0CC60598"/>
    <w:rsid w:val="0CC67F32"/>
    <w:rsid w:val="0CC81C74"/>
    <w:rsid w:val="0CC954FA"/>
    <w:rsid w:val="0CCA74C4"/>
    <w:rsid w:val="0CCB73F6"/>
    <w:rsid w:val="0CD13237"/>
    <w:rsid w:val="0CD45C9B"/>
    <w:rsid w:val="0CD74460"/>
    <w:rsid w:val="0CD92275"/>
    <w:rsid w:val="0CDF1CBD"/>
    <w:rsid w:val="0CE045F1"/>
    <w:rsid w:val="0CE3315B"/>
    <w:rsid w:val="0CE51F42"/>
    <w:rsid w:val="0CEC0F27"/>
    <w:rsid w:val="0CF32576"/>
    <w:rsid w:val="0CF602B9"/>
    <w:rsid w:val="0CF64FD9"/>
    <w:rsid w:val="0CF74598"/>
    <w:rsid w:val="0CFB57A8"/>
    <w:rsid w:val="0CFC2EA8"/>
    <w:rsid w:val="0CFE2CC9"/>
    <w:rsid w:val="0CFF50CF"/>
    <w:rsid w:val="0CFF53BF"/>
    <w:rsid w:val="0D000D6E"/>
    <w:rsid w:val="0D021928"/>
    <w:rsid w:val="0D095382"/>
    <w:rsid w:val="0D0D2660"/>
    <w:rsid w:val="0D0D62C5"/>
    <w:rsid w:val="0D0F14DC"/>
    <w:rsid w:val="0D0F19A2"/>
    <w:rsid w:val="0D0F572B"/>
    <w:rsid w:val="0D0F6EC9"/>
    <w:rsid w:val="0D1368B1"/>
    <w:rsid w:val="0D140A6A"/>
    <w:rsid w:val="0D141C74"/>
    <w:rsid w:val="0D157605"/>
    <w:rsid w:val="0D185A20"/>
    <w:rsid w:val="0D186481"/>
    <w:rsid w:val="0D1941DD"/>
    <w:rsid w:val="0D1A49C7"/>
    <w:rsid w:val="0D1C42BE"/>
    <w:rsid w:val="0D1E3C19"/>
    <w:rsid w:val="0D2C3CDA"/>
    <w:rsid w:val="0D2F6E12"/>
    <w:rsid w:val="0D305579"/>
    <w:rsid w:val="0D310530"/>
    <w:rsid w:val="0D312A96"/>
    <w:rsid w:val="0D34013B"/>
    <w:rsid w:val="0D385778"/>
    <w:rsid w:val="0D3B5CCB"/>
    <w:rsid w:val="0D3E296D"/>
    <w:rsid w:val="0D413A55"/>
    <w:rsid w:val="0D42716D"/>
    <w:rsid w:val="0D4E04BD"/>
    <w:rsid w:val="0D4E1EA3"/>
    <w:rsid w:val="0D523741"/>
    <w:rsid w:val="0D5733FF"/>
    <w:rsid w:val="0D5C0513"/>
    <w:rsid w:val="0D5D4D41"/>
    <w:rsid w:val="0D5E53EA"/>
    <w:rsid w:val="0D610AC1"/>
    <w:rsid w:val="0D6214AA"/>
    <w:rsid w:val="0D6E60A1"/>
    <w:rsid w:val="0D6E6B91"/>
    <w:rsid w:val="0D70006B"/>
    <w:rsid w:val="0D705975"/>
    <w:rsid w:val="0D750A02"/>
    <w:rsid w:val="0D766D04"/>
    <w:rsid w:val="0D791CFB"/>
    <w:rsid w:val="0D7F7B9A"/>
    <w:rsid w:val="0D806365"/>
    <w:rsid w:val="0D821B4C"/>
    <w:rsid w:val="0D844E64"/>
    <w:rsid w:val="0D847672"/>
    <w:rsid w:val="0D86163D"/>
    <w:rsid w:val="0D8633EB"/>
    <w:rsid w:val="0D894C89"/>
    <w:rsid w:val="0D8C1F03"/>
    <w:rsid w:val="0D8D29CB"/>
    <w:rsid w:val="0D913B3D"/>
    <w:rsid w:val="0D924CC9"/>
    <w:rsid w:val="0D9773A6"/>
    <w:rsid w:val="0D9A0C44"/>
    <w:rsid w:val="0D9E53FE"/>
    <w:rsid w:val="0D9F1350"/>
    <w:rsid w:val="0D9F2356"/>
    <w:rsid w:val="0D9F26FE"/>
    <w:rsid w:val="0DA16476"/>
    <w:rsid w:val="0DA345F3"/>
    <w:rsid w:val="0DA50DBC"/>
    <w:rsid w:val="0DA6583B"/>
    <w:rsid w:val="0DA669A8"/>
    <w:rsid w:val="0DAB10A3"/>
    <w:rsid w:val="0DB27F48"/>
    <w:rsid w:val="0DBB6FBF"/>
    <w:rsid w:val="0DBC2313"/>
    <w:rsid w:val="0DBD4932"/>
    <w:rsid w:val="0DC14423"/>
    <w:rsid w:val="0DC43F13"/>
    <w:rsid w:val="0DC50BB6"/>
    <w:rsid w:val="0DC7755F"/>
    <w:rsid w:val="0DC86468"/>
    <w:rsid w:val="0DCB2C99"/>
    <w:rsid w:val="0DCB31DE"/>
    <w:rsid w:val="0DD051E7"/>
    <w:rsid w:val="0DD56114"/>
    <w:rsid w:val="0DD73C46"/>
    <w:rsid w:val="0DD759F4"/>
    <w:rsid w:val="0DD8176C"/>
    <w:rsid w:val="0DD93718"/>
    <w:rsid w:val="0DD94D0D"/>
    <w:rsid w:val="0DDC1F85"/>
    <w:rsid w:val="0DDC23C6"/>
    <w:rsid w:val="0DDF276A"/>
    <w:rsid w:val="0DDF6F9F"/>
    <w:rsid w:val="0DE0254B"/>
    <w:rsid w:val="0DE22F08"/>
    <w:rsid w:val="0DE325EB"/>
    <w:rsid w:val="0DE34399"/>
    <w:rsid w:val="0DE96EA2"/>
    <w:rsid w:val="0DE97CA3"/>
    <w:rsid w:val="0DED6757"/>
    <w:rsid w:val="0DF045CD"/>
    <w:rsid w:val="0DF25DF6"/>
    <w:rsid w:val="0DF26508"/>
    <w:rsid w:val="0DF30354"/>
    <w:rsid w:val="0DFB0CE8"/>
    <w:rsid w:val="0E032C8D"/>
    <w:rsid w:val="0E034A3B"/>
    <w:rsid w:val="0E056A05"/>
    <w:rsid w:val="0E0A5DCA"/>
    <w:rsid w:val="0E0B1B42"/>
    <w:rsid w:val="0E0C7A0C"/>
    <w:rsid w:val="0E0F1B1E"/>
    <w:rsid w:val="0E100F06"/>
    <w:rsid w:val="0E1701D1"/>
    <w:rsid w:val="0E18716B"/>
    <w:rsid w:val="0E1A3B33"/>
    <w:rsid w:val="0E1E3623"/>
    <w:rsid w:val="0E21397E"/>
    <w:rsid w:val="0E24158B"/>
    <w:rsid w:val="0E245F2C"/>
    <w:rsid w:val="0E2767D3"/>
    <w:rsid w:val="0E2B09DF"/>
    <w:rsid w:val="0E2D7D0A"/>
    <w:rsid w:val="0E2F5830"/>
    <w:rsid w:val="0E303356"/>
    <w:rsid w:val="0E3177FA"/>
    <w:rsid w:val="0E3226AF"/>
    <w:rsid w:val="0E341099"/>
    <w:rsid w:val="0E362232"/>
    <w:rsid w:val="0E3761EC"/>
    <w:rsid w:val="0E3B6E96"/>
    <w:rsid w:val="0E3D4DA9"/>
    <w:rsid w:val="0E4235A5"/>
    <w:rsid w:val="0E43308A"/>
    <w:rsid w:val="0E46674C"/>
    <w:rsid w:val="0E4A4B95"/>
    <w:rsid w:val="0E4D5CB6"/>
    <w:rsid w:val="0E4E0E9C"/>
    <w:rsid w:val="0E4F37DA"/>
    <w:rsid w:val="0E507E0B"/>
    <w:rsid w:val="0E512AB9"/>
    <w:rsid w:val="0E5232CD"/>
    <w:rsid w:val="0E524878"/>
    <w:rsid w:val="0E563592"/>
    <w:rsid w:val="0E567261"/>
    <w:rsid w:val="0E576B35"/>
    <w:rsid w:val="0E625C06"/>
    <w:rsid w:val="0E651252"/>
    <w:rsid w:val="0E664957"/>
    <w:rsid w:val="0E664FCA"/>
    <w:rsid w:val="0E6A3639"/>
    <w:rsid w:val="0E6B25E0"/>
    <w:rsid w:val="0E6E1EFC"/>
    <w:rsid w:val="0E7019A5"/>
    <w:rsid w:val="0E745939"/>
    <w:rsid w:val="0E7476E7"/>
    <w:rsid w:val="0E796AAB"/>
    <w:rsid w:val="0E7F3AAA"/>
    <w:rsid w:val="0E847FE3"/>
    <w:rsid w:val="0E8518F4"/>
    <w:rsid w:val="0E87741A"/>
    <w:rsid w:val="0E8A515C"/>
    <w:rsid w:val="0E910299"/>
    <w:rsid w:val="0E9813FC"/>
    <w:rsid w:val="0E9E29B6"/>
    <w:rsid w:val="0E9E4764"/>
    <w:rsid w:val="0EA12A12"/>
    <w:rsid w:val="0EA544C6"/>
    <w:rsid w:val="0EA70AE5"/>
    <w:rsid w:val="0EA84788"/>
    <w:rsid w:val="0EA86B5B"/>
    <w:rsid w:val="0EAA3109"/>
    <w:rsid w:val="0EAB2689"/>
    <w:rsid w:val="0EAD2BF9"/>
    <w:rsid w:val="0EAE0E4B"/>
    <w:rsid w:val="0EAF1BCE"/>
    <w:rsid w:val="0EB21FBD"/>
    <w:rsid w:val="0EB2458C"/>
    <w:rsid w:val="0EC0097B"/>
    <w:rsid w:val="0EC07C41"/>
    <w:rsid w:val="0EC13817"/>
    <w:rsid w:val="0EC966A2"/>
    <w:rsid w:val="0ECA5559"/>
    <w:rsid w:val="0ECC54DF"/>
    <w:rsid w:val="0ED039C4"/>
    <w:rsid w:val="0ED05FDB"/>
    <w:rsid w:val="0ED20405"/>
    <w:rsid w:val="0ED40186"/>
    <w:rsid w:val="0ED463D8"/>
    <w:rsid w:val="0ED87C76"/>
    <w:rsid w:val="0ED96F16"/>
    <w:rsid w:val="0EDD1D05"/>
    <w:rsid w:val="0EDE1004"/>
    <w:rsid w:val="0EE3004D"/>
    <w:rsid w:val="0EE62674"/>
    <w:rsid w:val="0EE77493"/>
    <w:rsid w:val="0EF10D38"/>
    <w:rsid w:val="0EF41315"/>
    <w:rsid w:val="0EFB2438"/>
    <w:rsid w:val="0EFB3964"/>
    <w:rsid w:val="0F0312ED"/>
    <w:rsid w:val="0F0B4B6E"/>
    <w:rsid w:val="0F0D19B5"/>
    <w:rsid w:val="0F0F11BE"/>
    <w:rsid w:val="0F0F1D4A"/>
    <w:rsid w:val="0F135152"/>
    <w:rsid w:val="0F136F00"/>
    <w:rsid w:val="0F1669F0"/>
    <w:rsid w:val="0F1A64E0"/>
    <w:rsid w:val="0F1B4006"/>
    <w:rsid w:val="0F1E7653"/>
    <w:rsid w:val="0F213D74"/>
    <w:rsid w:val="0F2235BE"/>
    <w:rsid w:val="0F2509CA"/>
    <w:rsid w:val="0F263A31"/>
    <w:rsid w:val="0F26713F"/>
    <w:rsid w:val="0F276507"/>
    <w:rsid w:val="0F2869E6"/>
    <w:rsid w:val="0F2B249C"/>
    <w:rsid w:val="0F2E7896"/>
    <w:rsid w:val="0F3B0205"/>
    <w:rsid w:val="0F3B1FB3"/>
    <w:rsid w:val="0F3C1B49"/>
    <w:rsid w:val="0F3D21CF"/>
    <w:rsid w:val="0F3D3AB4"/>
    <w:rsid w:val="0F4075C9"/>
    <w:rsid w:val="0F4470B9"/>
    <w:rsid w:val="0F456BF5"/>
    <w:rsid w:val="0F476BAA"/>
    <w:rsid w:val="0F476DD2"/>
    <w:rsid w:val="0F4946D0"/>
    <w:rsid w:val="0F4952B3"/>
    <w:rsid w:val="0F4D5B06"/>
    <w:rsid w:val="0F4F66B3"/>
    <w:rsid w:val="0F56235F"/>
    <w:rsid w:val="0F56503F"/>
    <w:rsid w:val="0F5720EB"/>
    <w:rsid w:val="0F5B2655"/>
    <w:rsid w:val="0F5B4403"/>
    <w:rsid w:val="0F5F4247"/>
    <w:rsid w:val="0F69076D"/>
    <w:rsid w:val="0F692FC4"/>
    <w:rsid w:val="0F6B4A9D"/>
    <w:rsid w:val="0F6C4267"/>
    <w:rsid w:val="0F74234B"/>
    <w:rsid w:val="0F7D081D"/>
    <w:rsid w:val="0F7F6343"/>
    <w:rsid w:val="0F800B80"/>
    <w:rsid w:val="0F837210"/>
    <w:rsid w:val="0F851C92"/>
    <w:rsid w:val="0F8E310F"/>
    <w:rsid w:val="0F927968"/>
    <w:rsid w:val="0F931DEF"/>
    <w:rsid w:val="0F9A4F2B"/>
    <w:rsid w:val="0F9B74CF"/>
    <w:rsid w:val="0F9D2C6D"/>
    <w:rsid w:val="0FA06B52"/>
    <w:rsid w:val="0FA20284"/>
    <w:rsid w:val="0FA271D0"/>
    <w:rsid w:val="0FA77AC3"/>
    <w:rsid w:val="0FA91612"/>
    <w:rsid w:val="0FAA45CF"/>
    <w:rsid w:val="0FAB3402"/>
    <w:rsid w:val="0FAE09D7"/>
    <w:rsid w:val="0FAF0E26"/>
    <w:rsid w:val="0FB56DA3"/>
    <w:rsid w:val="0FBC1346"/>
    <w:rsid w:val="0FBF2BE4"/>
    <w:rsid w:val="0FC14BAE"/>
    <w:rsid w:val="0FC62034"/>
    <w:rsid w:val="0FC72972"/>
    <w:rsid w:val="0FC95811"/>
    <w:rsid w:val="0FCD558A"/>
    <w:rsid w:val="0FDA3DE2"/>
    <w:rsid w:val="0FDB1AA7"/>
    <w:rsid w:val="0FDC3796"/>
    <w:rsid w:val="0FDF6DE2"/>
    <w:rsid w:val="0FE6404B"/>
    <w:rsid w:val="0FE85594"/>
    <w:rsid w:val="0FEA729A"/>
    <w:rsid w:val="0FF02658"/>
    <w:rsid w:val="0FF22FB9"/>
    <w:rsid w:val="0FF56606"/>
    <w:rsid w:val="0FF637C6"/>
    <w:rsid w:val="0FF7412C"/>
    <w:rsid w:val="0FFA686B"/>
    <w:rsid w:val="0FFC5BE6"/>
    <w:rsid w:val="0FFE370C"/>
    <w:rsid w:val="1002670B"/>
    <w:rsid w:val="10035D93"/>
    <w:rsid w:val="10042CED"/>
    <w:rsid w:val="10053D44"/>
    <w:rsid w:val="10054A8B"/>
    <w:rsid w:val="1005735E"/>
    <w:rsid w:val="100920B1"/>
    <w:rsid w:val="100A2DAF"/>
    <w:rsid w:val="100D1C89"/>
    <w:rsid w:val="10107491"/>
    <w:rsid w:val="101333E6"/>
    <w:rsid w:val="10156893"/>
    <w:rsid w:val="101904F8"/>
    <w:rsid w:val="10196798"/>
    <w:rsid w:val="101B2AA3"/>
    <w:rsid w:val="10211C20"/>
    <w:rsid w:val="10284C2D"/>
    <w:rsid w:val="102F51A4"/>
    <w:rsid w:val="103233B6"/>
    <w:rsid w:val="1032785A"/>
    <w:rsid w:val="10345A86"/>
    <w:rsid w:val="10394744"/>
    <w:rsid w:val="103A467A"/>
    <w:rsid w:val="103E39D5"/>
    <w:rsid w:val="103F0C13"/>
    <w:rsid w:val="10444FAD"/>
    <w:rsid w:val="10466E61"/>
    <w:rsid w:val="104C5A29"/>
    <w:rsid w:val="104C612D"/>
    <w:rsid w:val="104E3024"/>
    <w:rsid w:val="1050589D"/>
    <w:rsid w:val="10523A58"/>
    <w:rsid w:val="105A46BB"/>
    <w:rsid w:val="105C6F9F"/>
    <w:rsid w:val="105E23FD"/>
    <w:rsid w:val="10611C93"/>
    <w:rsid w:val="10635126"/>
    <w:rsid w:val="10681048"/>
    <w:rsid w:val="10685029"/>
    <w:rsid w:val="106D0892"/>
    <w:rsid w:val="106F0166"/>
    <w:rsid w:val="10731EA3"/>
    <w:rsid w:val="1074577C"/>
    <w:rsid w:val="107B2FAF"/>
    <w:rsid w:val="107B717A"/>
    <w:rsid w:val="107C3AC0"/>
    <w:rsid w:val="107E65FB"/>
    <w:rsid w:val="107F236E"/>
    <w:rsid w:val="10806817"/>
    <w:rsid w:val="10815492"/>
    <w:rsid w:val="10865F46"/>
    <w:rsid w:val="108F05D7"/>
    <w:rsid w:val="108F0808"/>
    <w:rsid w:val="108F10E1"/>
    <w:rsid w:val="108F3DD9"/>
    <w:rsid w:val="10923E54"/>
    <w:rsid w:val="109376BC"/>
    <w:rsid w:val="10961B97"/>
    <w:rsid w:val="109D12F7"/>
    <w:rsid w:val="10A342B4"/>
    <w:rsid w:val="10A5627E"/>
    <w:rsid w:val="10A65B52"/>
    <w:rsid w:val="10AA5642"/>
    <w:rsid w:val="10AB7763"/>
    <w:rsid w:val="10B1077E"/>
    <w:rsid w:val="10B6142F"/>
    <w:rsid w:val="10BA3678"/>
    <w:rsid w:val="10BB73B8"/>
    <w:rsid w:val="10C97016"/>
    <w:rsid w:val="10CC1641"/>
    <w:rsid w:val="10D020B7"/>
    <w:rsid w:val="10D0497D"/>
    <w:rsid w:val="10E2678A"/>
    <w:rsid w:val="10E36DA6"/>
    <w:rsid w:val="10E53C51"/>
    <w:rsid w:val="10E70644"/>
    <w:rsid w:val="10EC17B7"/>
    <w:rsid w:val="10ED1C36"/>
    <w:rsid w:val="10ED552F"/>
    <w:rsid w:val="10EF1016"/>
    <w:rsid w:val="10F35EDA"/>
    <w:rsid w:val="10F81754"/>
    <w:rsid w:val="10F93ED3"/>
    <w:rsid w:val="10FD4DAB"/>
    <w:rsid w:val="10FD70FE"/>
    <w:rsid w:val="110079DA"/>
    <w:rsid w:val="110603FE"/>
    <w:rsid w:val="11067D65"/>
    <w:rsid w:val="11072A94"/>
    <w:rsid w:val="11074842"/>
    <w:rsid w:val="110D33FF"/>
    <w:rsid w:val="110F1368"/>
    <w:rsid w:val="110F1949"/>
    <w:rsid w:val="110F261A"/>
    <w:rsid w:val="110F7B9B"/>
    <w:rsid w:val="11160F29"/>
    <w:rsid w:val="11162CD7"/>
    <w:rsid w:val="111A5141"/>
    <w:rsid w:val="111B6540"/>
    <w:rsid w:val="111D3578"/>
    <w:rsid w:val="111F62D1"/>
    <w:rsid w:val="1120729F"/>
    <w:rsid w:val="11252F1A"/>
    <w:rsid w:val="11254CC9"/>
    <w:rsid w:val="112A66CD"/>
    <w:rsid w:val="112C24FB"/>
    <w:rsid w:val="112F78F5"/>
    <w:rsid w:val="1131366D"/>
    <w:rsid w:val="11392EC9"/>
    <w:rsid w:val="113B1005"/>
    <w:rsid w:val="113B273E"/>
    <w:rsid w:val="113C57F9"/>
    <w:rsid w:val="113E3FDC"/>
    <w:rsid w:val="114A6C4C"/>
    <w:rsid w:val="114E2471"/>
    <w:rsid w:val="114F61E9"/>
    <w:rsid w:val="115158F7"/>
    <w:rsid w:val="11533A80"/>
    <w:rsid w:val="11551A52"/>
    <w:rsid w:val="1158509E"/>
    <w:rsid w:val="11586E4C"/>
    <w:rsid w:val="115B06EA"/>
    <w:rsid w:val="116003F7"/>
    <w:rsid w:val="11653899"/>
    <w:rsid w:val="116752E1"/>
    <w:rsid w:val="11716160"/>
    <w:rsid w:val="11763776"/>
    <w:rsid w:val="11785740"/>
    <w:rsid w:val="117874EE"/>
    <w:rsid w:val="11805965"/>
    <w:rsid w:val="118358AD"/>
    <w:rsid w:val="118625FB"/>
    <w:rsid w:val="11862EF7"/>
    <w:rsid w:val="118937D1"/>
    <w:rsid w:val="118A3C0E"/>
    <w:rsid w:val="118B3A1B"/>
    <w:rsid w:val="118F1ECA"/>
    <w:rsid w:val="11916340"/>
    <w:rsid w:val="11937BFA"/>
    <w:rsid w:val="11945ED2"/>
    <w:rsid w:val="11967974"/>
    <w:rsid w:val="119B31DD"/>
    <w:rsid w:val="119B4F8B"/>
    <w:rsid w:val="119F4A7B"/>
    <w:rsid w:val="11A71B81"/>
    <w:rsid w:val="11AF3F8B"/>
    <w:rsid w:val="11B0144A"/>
    <w:rsid w:val="11B04EDA"/>
    <w:rsid w:val="11B8390F"/>
    <w:rsid w:val="11BA27CD"/>
    <w:rsid w:val="11BB79E4"/>
    <w:rsid w:val="11BC4597"/>
    <w:rsid w:val="11BD0599"/>
    <w:rsid w:val="11BD13A5"/>
    <w:rsid w:val="11C22033"/>
    <w:rsid w:val="11C52008"/>
    <w:rsid w:val="11D20850"/>
    <w:rsid w:val="11D20F73"/>
    <w:rsid w:val="11D74474"/>
    <w:rsid w:val="11DA0D9F"/>
    <w:rsid w:val="11DC4C8A"/>
    <w:rsid w:val="11DE5594"/>
    <w:rsid w:val="11DF131B"/>
    <w:rsid w:val="11DF30C9"/>
    <w:rsid w:val="11E15093"/>
    <w:rsid w:val="11E27C66"/>
    <w:rsid w:val="11E913E1"/>
    <w:rsid w:val="11EE155E"/>
    <w:rsid w:val="11F272A1"/>
    <w:rsid w:val="11F34DC7"/>
    <w:rsid w:val="11F428F3"/>
    <w:rsid w:val="11F56D91"/>
    <w:rsid w:val="11F74C47"/>
    <w:rsid w:val="11FE3E97"/>
    <w:rsid w:val="11FF19BD"/>
    <w:rsid w:val="1200463A"/>
    <w:rsid w:val="120871D7"/>
    <w:rsid w:val="1209283C"/>
    <w:rsid w:val="120A4ADD"/>
    <w:rsid w:val="120F6395"/>
    <w:rsid w:val="12130FC5"/>
    <w:rsid w:val="12180AB1"/>
    <w:rsid w:val="121A1366"/>
    <w:rsid w:val="121A7B54"/>
    <w:rsid w:val="121B7A1B"/>
    <w:rsid w:val="122356AC"/>
    <w:rsid w:val="122431D2"/>
    <w:rsid w:val="1226669A"/>
    <w:rsid w:val="122F102B"/>
    <w:rsid w:val="1234172D"/>
    <w:rsid w:val="123A47A4"/>
    <w:rsid w:val="123D3F18"/>
    <w:rsid w:val="123E4294"/>
    <w:rsid w:val="123E6C3F"/>
    <w:rsid w:val="12415B32"/>
    <w:rsid w:val="1249443F"/>
    <w:rsid w:val="124A2DD3"/>
    <w:rsid w:val="124B3562"/>
    <w:rsid w:val="125266DB"/>
    <w:rsid w:val="12597DB7"/>
    <w:rsid w:val="125C296C"/>
    <w:rsid w:val="125D0492"/>
    <w:rsid w:val="126132D0"/>
    <w:rsid w:val="126161D4"/>
    <w:rsid w:val="12620C11"/>
    <w:rsid w:val="12631F4C"/>
    <w:rsid w:val="12635AA8"/>
    <w:rsid w:val="12660C5E"/>
    <w:rsid w:val="12665E0E"/>
    <w:rsid w:val="126B2BAF"/>
    <w:rsid w:val="12745F08"/>
    <w:rsid w:val="127870B8"/>
    <w:rsid w:val="1279351E"/>
    <w:rsid w:val="127A7296"/>
    <w:rsid w:val="127C5AAD"/>
    <w:rsid w:val="12810624"/>
    <w:rsid w:val="12883761"/>
    <w:rsid w:val="12935927"/>
    <w:rsid w:val="129A3494"/>
    <w:rsid w:val="129B488B"/>
    <w:rsid w:val="129C5D80"/>
    <w:rsid w:val="129E7DDF"/>
    <w:rsid w:val="12A14823"/>
    <w:rsid w:val="12A3059B"/>
    <w:rsid w:val="12AA12B5"/>
    <w:rsid w:val="12AB744F"/>
    <w:rsid w:val="12AC7DA1"/>
    <w:rsid w:val="12B35F6C"/>
    <w:rsid w:val="12BF6E85"/>
    <w:rsid w:val="12C34799"/>
    <w:rsid w:val="12C5526A"/>
    <w:rsid w:val="12C60256"/>
    <w:rsid w:val="12C619D7"/>
    <w:rsid w:val="12C624DB"/>
    <w:rsid w:val="12C759E0"/>
    <w:rsid w:val="12C80001"/>
    <w:rsid w:val="12C82644"/>
    <w:rsid w:val="12CA3D79"/>
    <w:rsid w:val="12CF1390"/>
    <w:rsid w:val="12CF3415"/>
    <w:rsid w:val="12D40754"/>
    <w:rsid w:val="12DA1AE3"/>
    <w:rsid w:val="12DB5F87"/>
    <w:rsid w:val="12E00E7D"/>
    <w:rsid w:val="12E03B69"/>
    <w:rsid w:val="12E12E71"/>
    <w:rsid w:val="12E3308D"/>
    <w:rsid w:val="12E82452"/>
    <w:rsid w:val="12EA2F3A"/>
    <w:rsid w:val="12EB689D"/>
    <w:rsid w:val="12EC0194"/>
    <w:rsid w:val="12EF558E"/>
    <w:rsid w:val="12F17558"/>
    <w:rsid w:val="12F60AE4"/>
    <w:rsid w:val="12F708E7"/>
    <w:rsid w:val="12F86B39"/>
    <w:rsid w:val="12FC462E"/>
    <w:rsid w:val="12FF14BF"/>
    <w:rsid w:val="130059ED"/>
    <w:rsid w:val="130322E2"/>
    <w:rsid w:val="13054DB2"/>
    <w:rsid w:val="130A4366"/>
    <w:rsid w:val="130D544F"/>
    <w:rsid w:val="1311000A"/>
    <w:rsid w:val="131356B8"/>
    <w:rsid w:val="13141499"/>
    <w:rsid w:val="13162070"/>
    <w:rsid w:val="131C20FB"/>
    <w:rsid w:val="131E2E49"/>
    <w:rsid w:val="13217712"/>
    <w:rsid w:val="13255454"/>
    <w:rsid w:val="13280AA0"/>
    <w:rsid w:val="132868C4"/>
    <w:rsid w:val="132B7303"/>
    <w:rsid w:val="1331204B"/>
    <w:rsid w:val="1332191F"/>
    <w:rsid w:val="13345B5C"/>
    <w:rsid w:val="13381DB3"/>
    <w:rsid w:val="133833D9"/>
    <w:rsid w:val="13392CAD"/>
    <w:rsid w:val="13423A92"/>
    <w:rsid w:val="1350710E"/>
    <w:rsid w:val="13521EB6"/>
    <w:rsid w:val="13537988"/>
    <w:rsid w:val="13547063"/>
    <w:rsid w:val="13586BC3"/>
    <w:rsid w:val="135B0E75"/>
    <w:rsid w:val="135B10B6"/>
    <w:rsid w:val="135D699C"/>
    <w:rsid w:val="135E44C2"/>
    <w:rsid w:val="135E68F0"/>
    <w:rsid w:val="136046DE"/>
    <w:rsid w:val="13622204"/>
    <w:rsid w:val="13645F7C"/>
    <w:rsid w:val="13675A6C"/>
    <w:rsid w:val="136C4E31"/>
    <w:rsid w:val="136E6DFB"/>
    <w:rsid w:val="136F4921"/>
    <w:rsid w:val="136F66CF"/>
    <w:rsid w:val="137609B5"/>
    <w:rsid w:val="13771000"/>
    <w:rsid w:val="13780B86"/>
    <w:rsid w:val="137B5E51"/>
    <w:rsid w:val="137D5290"/>
    <w:rsid w:val="137F2DB6"/>
    <w:rsid w:val="1380268A"/>
    <w:rsid w:val="13831B37"/>
    <w:rsid w:val="1387409F"/>
    <w:rsid w:val="138A175B"/>
    <w:rsid w:val="138B7B63"/>
    <w:rsid w:val="138D23D7"/>
    <w:rsid w:val="138D5C7C"/>
    <w:rsid w:val="138E4DA7"/>
    <w:rsid w:val="138F2212"/>
    <w:rsid w:val="1397267E"/>
    <w:rsid w:val="1397700B"/>
    <w:rsid w:val="13A04ADA"/>
    <w:rsid w:val="13A22600"/>
    <w:rsid w:val="13A445CA"/>
    <w:rsid w:val="13A50343"/>
    <w:rsid w:val="13A9112D"/>
    <w:rsid w:val="13AE71F7"/>
    <w:rsid w:val="13B128EB"/>
    <w:rsid w:val="13B14F39"/>
    <w:rsid w:val="13B3480E"/>
    <w:rsid w:val="13B62550"/>
    <w:rsid w:val="13B660AC"/>
    <w:rsid w:val="13B73443"/>
    <w:rsid w:val="13BD38DE"/>
    <w:rsid w:val="13BF31B2"/>
    <w:rsid w:val="13C06F2A"/>
    <w:rsid w:val="13C317BF"/>
    <w:rsid w:val="13CC3517"/>
    <w:rsid w:val="13D220D9"/>
    <w:rsid w:val="13D84274"/>
    <w:rsid w:val="13DA1B6B"/>
    <w:rsid w:val="13DF1AA7"/>
    <w:rsid w:val="13E14B44"/>
    <w:rsid w:val="13E40E6B"/>
    <w:rsid w:val="13E42C19"/>
    <w:rsid w:val="13E454B0"/>
    <w:rsid w:val="13E56991"/>
    <w:rsid w:val="13E81F6D"/>
    <w:rsid w:val="13EB21F9"/>
    <w:rsid w:val="13EF0B03"/>
    <w:rsid w:val="13F1641F"/>
    <w:rsid w:val="13F50528"/>
    <w:rsid w:val="13F916CD"/>
    <w:rsid w:val="13FA068E"/>
    <w:rsid w:val="13FD3CDB"/>
    <w:rsid w:val="14015E1B"/>
    <w:rsid w:val="140212F1"/>
    <w:rsid w:val="140C03C2"/>
    <w:rsid w:val="14117786"/>
    <w:rsid w:val="141D437D"/>
    <w:rsid w:val="141F00F5"/>
    <w:rsid w:val="14215C1B"/>
    <w:rsid w:val="14225262"/>
    <w:rsid w:val="14284B87"/>
    <w:rsid w:val="142B3E84"/>
    <w:rsid w:val="142F1D04"/>
    <w:rsid w:val="143040B0"/>
    <w:rsid w:val="14305E5E"/>
    <w:rsid w:val="14356223"/>
    <w:rsid w:val="14365E9C"/>
    <w:rsid w:val="143811B7"/>
    <w:rsid w:val="1438587B"/>
    <w:rsid w:val="143958D1"/>
    <w:rsid w:val="143B4C57"/>
    <w:rsid w:val="143E3253"/>
    <w:rsid w:val="143F0000"/>
    <w:rsid w:val="14412E55"/>
    <w:rsid w:val="14423DE3"/>
    <w:rsid w:val="144B0EEA"/>
    <w:rsid w:val="14543108"/>
    <w:rsid w:val="145612F5"/>
    <w:rsid w:val="14587163"/>
    <w:rsid w:val="14593E9D"/>
    <w:rsid w:val="145A737F"/>
    <w:rsid w:val="145D29CB"/>
    <w:rsid w:val="14653A15"/>
    <w:rsid w:val="146D0E60"/>
    <w:rsid w:val="14752535"/>
    <w:rsid w:val="14774C36"/>
    <w:rsid w:val="147A532B"/>
    <w:rsid w:val="147C54A6"/>
    <w:rsid w:val="147F2243"/>
    <w:rsid w:val="147F6DE6"/>
    <w:rsid w:val="14801AF7"/>
    <w:rsid w:val="14830684"/>
    <w:rsid w:val="148438F3"/>
    <w:rsid w:val="148F5961"/>
    <w:rsid w:val="149029FC"/>
    <w:rsid w:val="149212A6"/>
    <w:rsid w:val="149363ED"/>
    <w:rsid w:val="14943AA4"/>
    <w:rsid w:val="14961D95"/>
    <w:rsid w:val="149A59CD"/>
    <w:rsid w:val="149C1746"/>
    <w:rsid w:val="14A405FA"/>
    <w:rsid w:val="14A800EA"/>
    <w:rsid w:val="14AE0900"/>
    <w:rsid w:val="14AE3227"/>
    <w:rsid w:val="14B307DB"/>
    <w:rsid w:val="14BA748E"/>
    <w:rsid w:val="14BE790E"/>
    <w:rsid w:val="14C03686"/>
    <w:rsid w:val="14C173FE"/>
    <w:rsid w:val="14C33176"/>
    <w:rsid w:val="14C36CD2"/>
    <w:rsid w:val="14C63B4B"/>
    <w:rsid w:val="14CD18FF"/>
    <w:rsid w:val="14D41977"/>
    <w:rsid w:val="14D709D0"/>
    <w:rsid w:val="14D734BB"/>
    <w:rsid w:val="14D86870"/>
    <w:rsid w:val="14DE7FCA"/>
    <w:rsid w:val="14E07884"/>
    <w:rsid w:val="14E1184E"/>
    <w:rsid w:val="14E37374"/>
    <w:rsid w:val="14ED3896"/>
    <w:rsid w:val="14EE3651"/>
    <w:rsid w:val="14F055ED"/>
    <w:rsid w:val="14F21061"/>
    <w:rsid w:val="14F450DE"/>
    <w:rsid w:val="14F83400"/>
    <w:rsid w:val="14F92278"/>
    <w:rsid w:val="14FA4638"/>
    <w:rsid w:val="14FB2910"/>
    <w:rsid w:val="150317C5"/>
    <w:rsid w:val="150D582C"/>
    <w:rsid w:val="150F3BAF"/>
    <w:rsid w:val="150F419C"/>
    <w:rsid w:val="150F646A"/>
    <w:rsid w:val="15121A08"/>
    <w:rsid w:val="15184468"/>
    <w:rsid w:val="151874F8"/>
    <w:rsid w:val="15192D96"/>
    <w:rsid w:val="151A3F0B"/>
    <w:rsid w:val="151D2886"/>
    <w:rsid w:val="151F6812"/>
    <w:rsid w:val="15267261"/>
    <w:rsid w:val="152754CD"/>
    <w:rsid w:val="15280A08"/>
    <w:rsid w:val="152B4878"/>
    <w:rsid w:val="152E5D9F"/>
    <w:rsid w:val="15307872"/>
    <w:rsid w:val="153656F6"/>
    <w:rsid w:val="15394ADF"/>
    <w:rsid w:val="153B0F5F"/>
    <w:rsid w:val="153C1D54"/>
    <w:rsid w:val="15412179"/>
    <w:rsid w:val="154260C9"/>
    <w:rsid w:val="154337CC"/>
    <w:rsid w:val="15453B8B"/>
    <w:rsid w:val="15595889"/>
    <w:rsid w:val="155966B9"/>
    <w:rsid w:val="155E0B40"/>
    <w:rsid w:val="1560095F"/>
    <w:rsid w:val="1563324D"/>
    <w:rsid w:val="15634011"/>
    <w:rsid w:val="156C55BC"/>
    <w:rsid w:val="15714980"/>
    <w:rsid w:val="15750E86"/>
    <w:rsid w:val="15761F97"/>
    <w:rsid w:val="157C573F"/>
    <w:rsid w:val="157D0A4E"/>
    <w:rsid w:val="157E0E4B"/>
    <w:rsid w:val="157F1C29"/>
    <w:rsid w:val="157F52EF"/>
    <w:rsid w:val="157F7685"/>
    <w:rsid w:val="15805B4F"/>
    <w:rsid w:val="158741A4"/>
    <w:rsid w:val="158B21C0"/>
    <w:rsid w:val="158C3568"/>
    <w:rsid w:val="15953BC7"/>
    <w:rsid w:val="159810C1"/>
    <w:rsid w:val="15996E05"/>
    <w:rsid w:val="159A3ED7"/>
    <w:rsid w:val="159A6D7D"/>
    <w:rsid w:val="159B1B8A"/>
    <w:rsid w:val="159D5775"/>
    <w:rsid w:val="159E2CD2"/>
    <w:rsid w:val="15A20227"/>
    <w:rsid w:val="15A23050"/>
    <w:rsid w:val="15A90F78"/>
    <w:rsid w:val="15AA6321"/>
    <w:rsid w:val="15AE1730"/>
    <w:rsid w:val="15B11221"/>
    <w:rsid w:val="15B43B6F"/>
    <w:rsid w:val="15B62640"/>
    <w:rsid w:val="15BB3E4D"/>
    <w:rsid w:val="15BD1974"/>
    <w:rsid w:val="15C05CCE"/>
    <w:rsid w:val="15C2342E"/>
    <w:rsid w:val="15C617EC"/>
    <w:rsid w:val="15CD72D0"/>
    <w:rsid w:val="15D078F9"/>
    <w:rsid w:val="15D37E54"/>
    <w:rsid w:val="15D54F0F"/>
    <w:rsid w:val="15D62A35"/>
    <w:rsid w:val="15D849FF"/>
    <w:rsid w:val="15DA7F25"/>
    <w:rsid w:val="15DC0EA6"/>
    <w:rsid w:val="15DD2DB0"/>
    <w:rsid w:val="15DE2BFF"/>
    <w:rsid w:val="15E2034C"/>
    <w:rsid w:val="15E27884"/>
    <w:rsid w:val="15E50ECA"/>
    <w:rsid w:val="15E909BB"/>
    <w:rsid w:val="15EA028F"/>
    <w:rsid w:val="15F1121E"/>
    <w:rsid w:val="15F35395"/>
    <w:rsid w:val="15F555B1"/>
    <w:rsid w:val="15F57BA9"/>
    <w:rsid w:val="15FB249C"/>
    <w:rsid w:val="15FF01DE"/>
    <w:rsid w:val="15FF1F8C"/>
    <w:rsid w:val="160475A2"/>
    <w:rsid w:val="16053D9D"/>
    <w:rsid w:val="160A1F61"/>
    <w:rsid w:val="160B0931"/>
    <w:rsid w:val="160E0421"/>
    <w:rsid w:val="16111CBF"/>
    <w:rsid w:val="16113A6D"/>
    <w:rsid w:val="16133C89"/>
    <w:rsid w:val="16161084"/>
    <w:rsid w:val="16174836"/>
    <w:rsid w:val="16187FAD"/>
    <w:rsid w:val="16206DCA"/>
    <w:rsid w:val="16210542"/>
    <w:rsid w:val="162177D0"/>
    <w:rsid w:val="16223ECC"/>
    <w:rsid w:val="162639BD"/>
    <w:rsid w:val="162B2B85"/>
    <w:rsid w:val="162B2D81"/>
    <w:rsid w:val="162C3C3A"/>
    <w:rsid w:val="16300397"/>
    <w:rsid w:val="16332DAB"/>
    <w:rsid w:val="16351E52"/>
    <w:rsid w:val="163D74DD"/>
    <w:rsid w:val="16450D3B"/>
    <w:rsid w:val="1647022E"/>
    <w:rsid w:val="164717FA"/>
    <w:rsid w:val="16481603"/>
    <w:rsid w:val="164B6F7F"/>
    <w:rsid w:val="164C27E1"/>
    <w:rsid w:val="165214C7"/>
    <w:rsid w:val="16555F66"/>
    <w:rsid w:val="165662E3"/>
    <w:rsid w:val="16567F6E"/>
    <w:rsid w:val="165F6ECF"/>
    <w:rsid w:val="16662A17"/>
    <w:rsid w:val="1667601C"/>
    <w:rsid w:val="166868FF"/>
    <w:rsid w:val="166B13D0"/>
    <w:rsid w:val="166D15EC"/>
    <w:rsid w:val="166D3094"/>
    <w:rsid w:val="1674297A"/>
    <w:rsid w:val="167504A0"/>
    <w:rsid w:val="16751E7F"/>
    <w:rsid w:val="16761328"/>
    <w:rsid w:val="16762F22"/>
    <w:rsid w:val="16783AEC"/>
    <w:rsid w:val="167A5AB7"/>
    <w:rsid w:val="16801192"/>
    <w:rsid w:val="16832BBD"/>
    <w:rsid w:val="16846935"/>
    <w:rsid w:val="16860E71"/>
    <w:rsid w:val="1699418F"/>
    <w:rsid w:val="169A0011"/>
    <w:rsid w:val="16A15C5E"/>
    <w:rsid w:val="16A36DBB"/>
    <w:rsid w:val="16A82624"/>
    <w:rsid w:val="16B0772A"/>
    <w:rsid w:val="16B20DAC"/>
    <w:rsid w:val="16B415AF"/>
    <w:rsid w:val="16B6153C"/>
    <w:rsid w:val="16B74615"/>
    <w:rsid w:val="16B76B2E"/>
    <w:rsid w:val="16BA4105"/>
    <w:rsid w:val="16BE3BF5"/>
    <w:rsid w:val="16C3120C"/>
    <w:rsid w:val="16C5556C"/>
    <w:rsid w:val="16C95B77"/>
    <w:rsid w:val="16C96E94"/>
    <w:rsid w:val="16D018A3"/>
    <w:rsid w:val="16D3646B"/>
    <w:rsid w:val="16D41A90"/>
    <w:rsid w:val="16D82FCC"/>
    <w:rsid w:val="16D9538A"/>
    <w:rsid w:val="16DB4FDF"/>
    <w:rsid w:val="16DC6599"/>
    <w:rsid w:val="16E11692"/>
    <w:rsid w:val="16E276A1"/>
    <w:rsid w:val="16E318AE"/>
    <w:rsid w:val="16E8125B"/>
    <w:rsid w:val="16E93FD1"/>
    <w:rsid w:val="16EB0762"/>
    <w:rsid w:val="16ED1BE3"/>
    <w:rsid w:val="16F00E60"/>
    <w:rsid w:val="16F032F8"/>
    <w:rsid w:val="16F13FCB"/>
    <w:rsid w:val="16FC45DC"/>
    <w:rsid w:val="16FF44B2"/>
    <w:rsid w:val="17002453"/>
    <w:rsid w:val="17057BF5"/>
    <w:rsid w:val="170C3AE8"/>
    <w:rsid w:val="170F61FF"/>
    <w:rsid w:val="171071EA"/>
    <w:rsid w:val="17190E2C"/>
    <w:rsid w:val="171C51F1"/>
    <w:rsid w:val="171F4A71"/>
    <w:rsid w:val="17207642"/>
    <w:rsid w:val="1723614E"/>
    <w:rsid w:val="17285513"/>
    <w:rsid w:val="172906F4"/>
    <w:rsid w:val="172A128B"/>
    <w:rsid w:val="172C2803"/>
    <w:rsid w:val="172D36C4"/>
    <w:rsid w:val="1731377E"/>
    <w:rsid w:val="173179D3"/>
    <w:rsid w:val="17367C2F"/>
    <w:rsid w:val="1739327C"/>
    <w:rsid w:val="173C3A66"/>
    <w:rsid w:val="173E0892"/>
    <w:rsid w:val="173E6AE4"/>
    <w:rsid w:val="173F7ADF"/>
    <w:rsid w:val="1743234C"/>
    <w:rsid w:val="17463907"/>
    <w:rsid w:val="174F4DAF"/>
    <w:rsid w:val="175160A3"/>
    <w:rsid w:val="17527320"/>
    <w:rsid w:val="17544ABE"/>
    <w:rsid w:val="175956CC"/>
    <w:rsid w:val="175B1B03"/>
    <w:rsid w:val="175B7696"/>
    <w:rsid w:val="175E728B"/>
    <w:rsid w:val="17630885"/>
    <w:rsid w:val="17656D71"/>
    <w:rsid w:val="176A1687"/>
    <w:rsid w:val="176C14C1"/>
    <w:rsid w:val="176D73C9"/>
    <w:rsid w:val="176F1C78"/>
    <w:rsid w:val="17712A16"/>
    <w:rsid w:val="17771954"/>
    <w:rsid w:val="17781D54"/>
    <w:rsid w:val="17783439"/>
    <w:rsid w:val="177B5642"/>
    <w:rsid w:val="17806D11"/>
    <w:rsid w:val="178070FD"/>
    <w:rsid w:val="17856C0D"/>
    <w:rsid w:val="17872888"/>
    <w:rsid w:val="17885FB1"/>
    <w:rsid w:val="178F5592"/>
    <w:rsid w:val="17913C93"/>
    <w:rsid w:val="17917C49"/>
    <w:rsid w:val="17920BDE"/>
    <w:rsid w:val="17936E30"/>
    <w:rsid w:val="17951E3A"/>
    <w:rsid w:val="179775A2"/>
    <w:rsid w:val="179B3A61"/>
    <w:rsid w:val="17A4103D"/>
    <w:rsid w:val="17AC4DC3"/>
    <w:rsid w:val="17B10A8D"/>
    <w:rsid w:val="17B37B46"/>
    <w:rsid w:val="17BE3CFD"/>
    <w:rsid w:val="17C23271"/>
    <w:rsid w:val="17C27715"/>
    <w:rsid w:val="17C3523B"/>
    <w:rsid w:val="17D10D76"/>
    <w:rsid w:val="17D22226"/>
    <w:rsid w:val="17D35071"/>
    <w:rsid w:val="17D414A6"/>
    <w:rsid w:val="17D52E9E"/>
    <w:rsid w:val="17D55D03"/>
    <w:rsid w:val="17D93DA6"/>
    <w:rsid w:val="17DD00AB"/>
    <w:rsid w:val="17DF2A99"/>
    <w:rsid w:val="17E35FC3"/>
    <w:rsid w:val="17E551B2"/>
    <w:rsid w:val="17E813F8"/>
    <w:rsid w:val="17E874C3"/>
    <w:rsid w:val="17E937D7"/>
    <w:rsid w:val="17EA0A1A"/>
    <w:rsid w:val="17EE4066"/>
    <w:rsid w:val="17F35B20"/>
    <w:rsid w:val="17F378CF"/>
    <w:rsid w:val="17FB2C27"/>
    <w:rsid w:val="17FB49D5"/>
    <w:rsid w:val="17FC486D"/>
    <w:rsid w:val="17FD074D"/>
    <w:rsid w:val="17FD3766"/>
    <w:rsid w:val="17FF44C5"/>
    <w:rsid w:val="18075128"/>
    <w:rsid w:val="18081EEB"/>
    <w:rsid w:val="18093D0F"/>
    <w:rsid w:val="180A58E4"/>
    <w:rsid w:val="180B52C8"/>
    <w:rsid w:val="180C273E"/>
    <w:rsid w:val="1811142B"/>
    <w:rsid w:val="18111EB0"/>
    <w:rsid w:val="18117D55"/>
    <w:rsid w:val="181209C8"/>
    <w:rsid w:val="18190A89"/>
    <w:rsid w:val="181A12FF"/>
    <w:rsid w:val="18221F62"/>
    <w:rsid w:val="18226406"/>
    <w:rsid w:val="18253800"/>
    <w:rsid w:val="18295191"/>
    <w:rsid w:val="18300B23"/>
    <w:rsid w:val="18303B98"/>
    <w:rsid w:val="183121A5"/>
    <w:rsid w:val="183357E7"/>
    <w:rsid w:val="18356139"/>
    <w:rsid w:val="18365A0D"/>
    <w:rsid w:val="18381785"/>
    <w:rsid w:val="183A54FD"/>
    <w:rsid w:val="183A72AB"/>
    <w:rsid w:val="183F48C2"/>
    <w:rsid w:val="18412E2E"/>
    <w:rsid w:val="18415F94"/>
    <w:rsid w:val="18422604"/>
    <w:rsid w:val="18437C28"/>
    <w:rsid w:val="18460703"/>
    <w:rsid w:val="18463EA2"/>
    <w:rsid w:val="184A49C9"/>
    <w:rsid w:val="184F33D6"/>
    <w:rsid w:val="184F7FC0"/>
    <w:rsid w:val="18503DEF"/>
    <w:rsid w:val="18510A99"/>
    <w:rsid w:val="18512847"/>
    <w:rsid w:val="18546A7B"/>
    <w:rsid w:val="18553EFB"/>
    <w:rsid w:val="18562F63"/>
    <w:rsid w:val="1856507F"/>
    <w:rsid w:val="18582718"/>
    <w:rsid w:val="185B390E"/>
    <w:rsid w:val="185D005D"/>
    <w:rsid w:val="185E5E70"/>
    <w:rsid w:val="185F0D12"/>
    <w:rsid w:val="18624A64"/>
    <w:rsid w:val="18625F4B"/>
    <w:rsid w:val="1862610F"/>
    <w:rsid w:val="18655B85"/>
    <w:rsid w:val="18663319"/>
    <w:rsid w:val="18685B95"/>
    <w:rsid w:val="187237A3"/>
    <w:rsid w:val="187573B8"/>
    <w:rsid w:val="18775C69"/>
    <w:rsid w:val="18784278"/>
    <w:rsid w:val="187A1D9E"/>
    <w:rsid w:val="187F6ED7"/>
    <w:rsid w:val="18895114"/>
    <w:rsid w:val="188D27B1"/>
    <w:rsid w:val="189015C1"/>
    <w:rsid w:val="189B2BFC"/>
    <w:rsid w:val="189B47E4"/>
    <w:rsid w:val="189C6940"/>
    <w:rsid w:val="18A1732B"/>
    <w:rsid w:val="18A94431"/>
    <w:rsid w:val="18AB01A9"/>
    <w:rsid w:val="18AC458C"/>
    <w:rsid w:val="18AD3F21"/>
    <w:rsid w:val="18B05417"/>
    <w:rsid w:val="18B16DE1"/>
    <w:rsid w:val="18B84674"/>
    <w:rsid w:val="18BA4824"/>
    <w:rsid w:val="18BA6BAB"/>
    <w:rsid w:val="18BC599B"/>
    <w:rsid w:val="18BC5F12"/>
    <w:rsid w:val="18BD3D06"/>
    <w:rsid w:val="18BE5269"/>
    <w:rsid w:val="18CA5EEA"/>
    <w:rsid w:val="18CD45C3"/>
    <w:rsid w:val="18D314AE"/>
    <w:rsid w:val="18D771F0"/>
    <w:rsid w:val="18DA0155"/>
    <w:rsid w:val="18DA283C"/>
    <w:rsid w:val="18DD095C"/>
    <w:rsid w:val="18DE057F"/>
    <w:rsid w:val="18E611E1"/>
    <w:rsid w:val="18E70666"/>
    <w:rsid w:val="18E92A1D"/>
    <w:rsid w:val="18EC5B34"/>
    <w:rsid w:val="18EE18A5"/>
    <w:rsid w:val="18F46F4A"/>
    <w:rsid w:val="18F558C8"/>
    <w:rsid w:val="18F71640"/>
    <w:rsid w:val="18FD7CA5"/>
    <w:rsid w:val="18FF04F5"/>
    <w:rsid w:val="19013F4B"/>
    <w:rsid w:val="19015F1B"/>
    <w:rsid w:val="190206B8"/>
    <w:rsid w:val="1902711F"/>
    <w:rsid w:val="190873AA"/>
    <w:rsid w:val="190A1374"/>
    <w:rsid w:val="190B50EC"/>
    <w:rsid w:val="190D0661"/>
    <w:rsid w:val="190D49C0"/>
    <w:rsid w:val="1910625E"/>
    <w:rsid w:val="19120228"/>
    <w:rsid w:val="19137AFC"/>
    <w:rsid w:val="19151AC7"/>
    <w:rsid w:val="19172CC4"/>
    <w:rsid w:val="19172FD4"/>
    <w:rsid w:val="191837CC"/>
    <w:rsid w:val="191C2E55"/>
    <w:rsid w:val="19263CD4"/>
    <w:rsid w:val="19267830"/>
    <w:rsid w:val="192C4A82"/>
    <w:rsid w:val="192D420D"/>
    <w:rsid w:val="192E1336"/>
    <w:rsid w:val="1930578A"/>
    <w:rsid w:val="19313528"/>
    <w:rsid w:val="19351E7C"/>
    <w:rsid w:val="19372E7B"/>
    <w:rsid w:val="19377C8F"/>
    <w:rsid w:val="193C34F7"/>
    <w:rsid w:val="193E479F"/>
    <w:rsid w:val="1941466A"/>
    <w:rsid w:val="194523AC"/>
    <w:rsid w:val="19455D09"/>
    <w:rsid w:val="1945653F"/>
    <w:rsid w:val="19460078"/>
    <w:rsid w:val="1947560C"/>
    <w:rsid w:val="19495496"/>
    <w:rsid w:val="194B43FA"/>
    <w:rsid w:val="194E20CC"/>
    <w:rsid w:val="19502AFF"/>
    <w:rsid w:val="1954405E"/>
    <w:rsid w:val="19570331"/>
    <w:rsid w:val="19585301"/>
    <w:rsid w:val="195C14A3"/>
    <w:rsid w:val="195C2DE5"/>
    <w:rsid w:val="19600F94"/>
    <w:rsid w:val="19614D0C"/>
    <w:rsid w:val="196315DB"/>
    <w:rsid w:val="19662BA6"/>
    <w:rsid w:val="196640D0"/>
    <w:rsid w:val="19687E48"/>
    <w:rsid w:val="196C0EDA"/>
    <w:rsid w:val="19733B91"/>
    <w:rsid w:val="19741C04"/>
    <w:rsid w:val="19744A3F"/>
    <w:rsid w:val="19766A09"/>
    <w:rsid w:val="197965AC"/>
    <w:rsid w:val="19810F0A"/>
    <w:rsid w:val="198253AE"/>
    <w:rsid w:val="1984540C"/>
    <w:rsid w:val="19866520"/>
    <w:rsid w:val="198741EA"/>
    <w:rsid w:val="198B4B66"/>
    <w:rsid w:val="198F1879"/>
    <w:rsid w:val="19901D39"/>
    <w:rsid w:val="199354D0"/>
    <w:rsid w:val="199A1032"/>
    <w:rsid w:val="199D21E8"/>
    <w:rsid w:val="199E1ABC"/>
    <w:rsid w:val="19A01D5D"/>
    <w:rsid w:val="19A76BC3"/>
    <w:rsid w:val="19AA3CA7"/>
    <w:rsid w:val="19AB1623"/>
    <w:rsid w:val="19AB7701"/>
    <w:rsid w:val="19AF4119"/>
    <w:rsid w:val="19AF7825"/>
    <w:rsid w:val="19B1359D"/>
    <w:rsid w:val="19B90545"/>
    <w:rsid w:val="19B923D5"/>
    <w:rsid w:val="19BB7D78"/>
    <w:rsid w:val="19BD019E"/>
    <w:rsid w:val="19BF1AEE"/>
    <w:rsid w:val="19C8234B"/>
    <w:rsid w:val="19CF7EC7"/>
    <w:rsid w:val="19D47CEE"/>
    <w:rsid w:val="19D76D7C"/>
    <w:rsid w:val="19DA6E7D"/>
    <w:rsid w:val="19DB061A"/>
    <w:rsid w:val="19DB3EF1"/>
    <w:rsid w:val="19DD1AC5"/>
    <w:rsid w:val="19DE010A"/>
    <w:rsid w:val="19E00326"/>
    <w:rsid w:val="19E27D8F"/>
    <w:rsid w:val="19E31528"/>
    <w:rsid w:val="19E44233"/>
    <w:rsid w:val="19E75211"/>
    <w:rsid w:val="19E82D37"/>
    <w:rsid w:val="19EA4C66"/>
    <w:rsid w:val="19EB628B"/>
    <w:rsid w:val="19EE536E"/>
    <w:rsid w:val="19F416DC"/>
    <w:rsid w:val="19F53DD2"/>
    <w:rsid w:val="19FB2A6A"/>
    <w:rsid w:val="19FD2C86"/>
    <w:rsid w:val="19FE6658"/>
    <w:rsid w:val="1A0276C8"/>
    <w:rsid w:val="1A057D8D"/>
    <w:rsid w:val="1A073B05"/>
    <w:rsid w:val="1A0A6AB1"/>
    <w:rsid w:val="1A0A7944"/>
    <w:rsid w:val="1A0F29BA"/>
    <w:rsid w:val="1A0F4768"/>
    <w:rsid w:val="1A0F6516"/>
    <w:rsid w:val="1A1206FC"/>
    <w:rsid w:val="1A164902"/>
    <w:rsid w:val="1A1709D2"/>
    <w:rsid w:val="1A184EC1"/>
    <w:rsid w:val="1A1A463B"/>
    <w:rsid w:val="1A1D6E85"/>
    <w:rsid w:val="1A236C28"/>
    <w:rsid w:val="1A246465"/>
    <w:rsid w:val="1A2570E8"/>
    <w:rsid w:val="1A277D03"/>
    <w:rsid w:val="1A2A3F5E"/>
    <w:rsid w:val="1A2C1C85"/>
    <w:rsid w:val="1A2F50AD"/>
    <w:rsid w:val="1A3507CC"/>
    <w:rsid w:val="1A366735"/>
    <w:rsid w:val="1A3B555D"/>
    <w:rsid w:val="1A3E355A"/>
    <w:rsid w:val="1A400DC5"/>
    <w:rsid w:val="1A4F16C2"/>
    <w:rsid w:val="1A562397"/>
    <w:rsid w:val="1A592BA3"/>
    <w:rsid w:val="1A5D46A3"/>
    <w:rsid w:val="1A5F124B"/>
    <w:rsid w:val="1A5F2FF9"/>
    <w:rsid w:val="1A5F749D"/>
    <w:rsid w:val="1A60100A"/>
    <w:rsid w:val="1A604FC3"/>
    <w:rsid w:val="1A606D71"/>
    <w:rsid w:val="1A637290"/>
    <w:rsid w:val="1A66082C"/>
    <w:rsid w:val="1A693E78"/>
    <w:rsid w:val="1A6A7BF0"/>
    <w:rsid w:val="1A6E148E"/>
    <w:rsid w:val="1A703458"/>
    <w:rsid w:val="1A71334C"/>
    <w:rsid w:val="1A725422"/>
    <w:rsid w:val="1A732F49"/>
    <w:rsid w:val="1A74457E"/>
    <w:rsid w:val="1A765CDD"/>
    <w:rsid w:val="1A7C004F"/>
    <w:rsid w:val="1A7D3DC7"/>
    <w:rsid w:val="1A7D5B75"/>
    <w:rsid w:val="1A89451A"/>
    <w:rsid w:val="1A8B0292"/>
    <w:rsid w:val="1A8B18A5"/>
    <w:rsid w:val="1A8E0629"/>
    <w:rsid w:val="1A901398"/>
    <w:rsid w:val="1A903AFB"/>
    <w:rsid w:val="1A907657"/>
    <w:rsid w:val="1A9311D2"/>
    <w:rsid w:val="1A9340E4"/>
    <w:rsid w:val="1A953AA2"/>
    <w:rsid w:val="1A991EB8"/>
    <w:rsid w:val="1A9C249F"/>
    <w:rsid w:val="1A9D520C"/>
    <w:rsid w:val="1A9F789A"/>
    <w:rsid w:val="1AA41354"/>
    <w:rsid w:val="1AA43102"/>
    <w:rsid w:val="1AA621A8"/>
    <w:rsid w:val="1AA9696A"/>
    <w:rsid w:val="1AAB629F"/>
    <w:rsid w:val="1AAD7854"/>
    <w:rsid w:val="1AB75BC6"/>
    <w:rsid w:val="1AB8095B"/>
    <w:rsid w:val="1ABC1092"/>
    <w:rsid w:val="1ABE40E7"/>
    <w:rsid w:val="1ABE6120"/>
    <w:rsid w:val="1AC15A62"/>
    <w:rsid w:val="1AC612CA"/>
    <w:rsid w:val="1AC92B69"/>
    <w:rsid w:val="1ACC4407"/>
    <w:rsid w:val="1ACD7D2A"/>
    <w:rsid w:val="1AD003D6"/>
    <w:rsid w:val="1AD21A47"/>
    <w:rsid w:val="1AD21DA1"/>
    <w:rsid w:val="1AD43235"/>
    <w:rsid w:val="1AD55655"/>
    <w:rsid w:val="1AD67034"/>
    <w:rsid w:val="1AD75C28"/>
    <w:rsid w:val="1AD80FFE"/>
    <w:rsid w:val="1ADA4D76"/>
    <w:rsid w:val="1ADB50AB"/>
    <w:rsid w:val="1ADF413A"/>
    <w:rsid w:val="1AE006FC"/>
    <w:rsid w:val="1AE03114"/>
    <w:rsid w:val="1AE216BB"/>
    <w:rsid w:val="1AE6196C"/>
    <w:rsid w:val="1AE87493"/>
    <w:rsid w:val="1AE96D67"/>
    <w:rsid w:val="1AEA0FFE"/>
    <w:rsid w:val="1AED2CFB"/>
    <w:rsid w:val="1AED45F2"/>
    <w:rsid w:val="1AF04943"/>
    <w:rsid w:val="1AF51BB0"/>
    <w:rsid w:val="1AF75928"/>
    <w:rsid w:val="1AF77809"/>
    <w:rsid w:val="1AF8344E"/>
    <w:rsid w:val="1AF851B6"/>
    <w:rsid w:val="1AF94C56"/>
    <w:rsid w:val="1AFC0863"/>
    <w:rsid w:val="1B041DF3"/>
    <w:rsid w:val="1B063DBD"/>
    <w:rsid w:val="1B090209"/>
    <w:rsid w:val="1B0D17E8"/>
    <w:rsid w:val="1B10109B"/>
    <w:rsid w:val="1B1262BE"/>
    <w:rsid w:val="1B171AA5"/>
    <w:rsid w:val="1B173809"/>
    <w:rsid w:val="1B1808F5"/>
    <w:rsid w:val="1B1A1616"/>
    <w:rsid w:val="1B1B26AB"/>
    <w:rsid w:val="1B1E770C"/>
    <w:rsid w:val="1B1F3E4F"/>
    <w:rsid w:val="1B206DDB"/>
    <w:rsid w:val="1B2129A5"/>
    <w:rsid w:val="1B225A62"/>
    <w:rsid w:val="1B2B1B14"/>
    <w:rsid w:val="1B2B26A3"/>
    <w:rsid w:val="1B2D30F7"/>
    <w:rsid w:val="1B324BB2"/>
    <w:rsid w:val="1B3C4A90"/>
    <w:rsid w:val="1B446693"/>
    <w:rsid w:val="1B46401E"/>
    <w:rsid w:val="1B486556"/>
    <w:rsid w:val="1B4F7512"/>
    <w:rsid w:val="1B516ABF"/>
    <w:rsid w:val="1B5508A0"/>
    <w:rsid w:val="1B570174"/>
    <w:rsid w:val="1B5A7C65"/>
    <w:rsid w:val="1B5C071E"/>
    <w:rsid w:val="1B60171F"/>
    <w:rsid w:val="1B664454"/>
    <w:rsid w:val="1B6B1E72"/>
    <w:rsid w:val="1B701236"/>
    <w:rsid w:val="1B7538D9"/>
    <w:rsid w:val="1B7725C5"/>
    <w:rsid w:val="1B797AFA"/>
    <w:rsid w:val="1B7A3E63"/>
    <w:rsid w:val="1B7C5E2D"/>
    <w:rsid w:val="1B7D35C3"/>
    <w:rsid w:val="1B84191A"/>
    <w:rsid w:val="1B852F33"/>
    <w:rsid w:val="1B886580"/>
    <w:rsid w:val="1B8F5B60"/>
    <w:rsid w:val="1B8F790E"/>
    <w:rsid w:val="1B924BE5"/>
    <w:rsid w:val="1B9413C8"/>
    <w:rsid w:val="1B996E8C"/>
    <w:rsid w:val="1B9C168A"/>
    <w:rsid w:val="1B9C202B"/>
    <w:rsid w:val="1B9C45D4"/>
    <w:rsid w:val="1BA04212"/>
    <w:rsid w:val="1BA1302E"/>
    <w:rsid w:val="1BA15A4E"/>
    <w:rsid w:val="1BA23AE5"/>
    <w:rsid w:val="1BA43815"/>
    <w:rsid w:val="1BA632CD"/>
    <w:rsid w:val="1BA63383"/>
    <w:rsid w:val="1BAA5C57"/>
    <w:rsid w:val="1BAE6B38"/>
    <w:rsid w:val="1BB235FD"/>
    <w:rsid w:val="1BB455C7"/>
    <w:rsid w:val="1BB90E2F"/>
    <w:rsid w:val="1BBC447B"/>
    <w:rsid w:val="1BBC6928"/>
    <w:rsid w:val="1BBE4173"/>
    <w:rsid w:val="1BC31CAE"/>
    <w:rsid w:val="1BC3580A"/>
    <w:rsid w:val="1BC434B3"/>
    <w:rsid w:val="1BC52EC4"/>
    <w:rsid w:val="1BC5595D"/>
    <w:rsid w:val="1BC601EC"/>
    <w:rsid w:val="1BC87C70"/>
    <w:rsid w:val="1BCB46BE"/>
    <w:rsid w:val="1BD03BDB"/>
    <w:rsid w:val="1BD10457"/>
    <w:rsid w:val="1BD23C9F"/>
    <w:rsid w:val="1BD417C5"/>
    <w:rsid w:val="1BD57D2D"/>
    <w:rsid w:val="1BD57D6A"/>
    <w:rsid w:val="1BD619E1"/>
    <w:rsid w:val="1BDB6FF7"/>
    <w:rsid w:val="1BDD2D6F"/>
    <w:rsid w:val="1BDE0896"/>
    <w:rsid w:val="1BDE43F2"/>
    <w:rsid w:val="1BE51C24"/>
    <w:rsid w:val="1BE73E5B"/>
    <w:rsid w:val="1BF40D6E"/>
    <w:rsid w:val="1BF71A05"/>
    <w:rsid w:val="1BF73705"/>
    <w:rsid w:val="1BFC2ACA"/>
    <w:rsid w:val="1BFC55D0"/>
    <w:rsid w:val="1BFD6F6E"/>
    <w:rsid w:val="1BFF2C6B"/>
    <w:rsid w:val="1C0A6971"/>
    <w:rsid w:val="1C0A6AB2"/>
    <w:rsid w:val="1C131164"/>
    <w:rsid w:val="1C132BA8"/>
    <w:rsid w:val="1C136593"/>
    <w:rsid w:val="1C16002F"/>
    <w:rsid w:val="1C185B56"/>
    <w:rsid w:val="1C1D2214"/>
    <w:rsid w:val="1C220782"/>
    <w:rsid w:val="1C27223D"/>
    <w:rsid w:val="1C2F4C4D"/>
    <w:rsid w:val="1C355E07"/>
    <w:rsid w:val="1C373E65"/>
    <w:rsid w:val="1C386E1E"/>
    <w:rsid w:val="1C3B1844"/>
    <w:rsid w:val="1C401441"/>
    <w:rsid w:val="1C426D3F"/>
    <w:rsid w:val="1C44694B"/>
    <w:rsid w:val="1C490E78"/>
    <w:rsid w:val="1C4B43EB"/>
    <w:rsid w:val="1C4E4EA0"/>
    <w:rsid w:val="1C511068"/>
    <w:rsid w:val="1C546A2E"/>
    <w:rsid w:val="1C58480E"/>
    <w:rsid w:val="1C5F3784"/>
    <w:rsid w:val="1C644F1E"/>
    <w:rsid w:val="1C672639"/>
    <w:rsid w:val="1C6B037B"/>
    <w:rsid w:val="1C6E1C1A"/>
    <w:rsid w:val="1C717FB2"/>
    <w:rsid w:val="1C746B04"/>
    <w:rsid w:val="1C7A17A2"/>
    <w:rsid w:val="1C7A588B"/>
    <w:rsid w:val="1C7B348C"/>
    <w:rsid w:val="1C7C30D0"/>
    <w:rsid w:val="1C844F99"/>
    <w:rsid w:val="1C8C6544"/>
    <w:rsid w:val="1C9000AE"/>
    <w:rsid w:val="1C915908"/>
    <w:rsid w:val="1C9378D2"/>
    <w:rsid w:val="1C940F54"/>
    <w:rsid w:val="1C99656B"/>
    <w:rsid w:val="1C9C1A02"/>
    <w:rsid w:val="1C9D24FF"/>
    <w:rsid w:val="1CA14B49"/>
    <w:rsid w:val="1CA473E9"/>
    <w:rsid w:val="1CA76EDA"/>
    <w:rsid w:val="1CA86288"/>
    <w:rsid w:val="1CAC629E"/>
    <w:rsid w:val="1CAE7EB9"/>
    <w:rsid w:val="1CB03CB9"/>
    <w:rsid w:val="1CB0797E"/>
    <w:rsid w:val="1CB431B6"/>
    <w:rsid w:val="1CB601A3"/>
    <w:rsid w:val="1CBD66FD"/>
    <w:rsid w:val="1CBF6A3A"/>
    <w:rsid w:val="1CC17F9B"/>
    <w:rsid w:val="1CC26430"/>
    <w:rsid w:val="1CC36857"/>
    <w:rsid w:val="1CC574CB"/>
    <w:rsid w:val="1CCB7BBA"/>
    <w:rsid w:val="1CD203FA"/>
    <w:rsid w:val="1CD35F20"/>
    <w:rsid w:val="1CD6156D"/>
    <w:rsid w:val="1CD961EB"/>
    <w:rsid w:val="1CDB3048"/>
    <w:rsid w:val="1CDB6B83"/>
    <w:rsid w:val="1CDF3A68"/>
    <w:rsid w:val="1CE06A28"/>
    <w:rsid w:val="1CE10F18"/>
    <w:rsid w:val="1CE30DD6"/>
    <w:rsid w:val="1CE343B6"/>
    <w:rsid w:val="1CE54CDC"/>
    <w:rsid w:val="1CE55DA1"/>
    <w:rsid w:val="1CE9744A"/>
    <w:rsid w:val="1CF0262F"/>
    <w:rsid w:val="1CF163A7"/>
    <w:rsid w:val="1CF16DF2"/>
    <w:rsid w:val="1CF540E9"/>
    <w:rsid w:val="1CF739BD"/>
    <w:rsid w:val="1CFA2FB4"/>
    <w:rsid w:val="1CFF349A"/>
    <w:rsid w:val="1D0273B6"/>
    <w:rsid w:val="1D061B4F"/>
    <w:rsid w:val="1D066775"/>
    <w:rsid w:val="1D0831FB"/>
    <w:rsid w:val="1D0D31E0"/>
    <w:rsid w:val="1D104A7F"/>
    <w:rsid w:val="1D1316E8"/>
    <w:rsid w:val="1D13631D"/>
    <w:rsid w:val="1D1502E7"/>
    <w:rsid w:val="1D180E61"/>
    <w:rsid w:val="1D1C03C5"/>
    <w:rsid w:val="1D212AAA"/>
    <w:rsid w:val="1D2247B2"/>
    <w:rsid w:val="1D231F24"/>
    <w:rsid w:val="1D235400"/>
    <w:rsid w:val="1D23711B"/>
    <w:rsid w:val="1D2A1C5D"/>
    <w:rsid w:val="1D2B18B9"/>
    <w:rsid w:val="1D2D6827"/>
    <w:rsid w:val="1D2F75FB"/>
    <w:rsid w:val="1D364AFF"/>
    <w:rsid w:val="1D3800AE"/>
    <w:rsid w:val="1D3C1D18"/>
    <w:rsid w:val="1D3E0FF5"/>
    <w:rsid w:val="1D3F35B6"/>
    <w:rsid w:val="1D4027FB"/>
    <w:rsid w:val="1D405A17"/>
    <w:rsid w:val="1D41764D"/>
    <w:rsid w:val="1D467BA2"/>
    <w:rsid w:val="1D48246B"/>
    <w:rsid w:val="1D4846EF"/>
    <w:rsid w:val="1D496E38"/>
    <w:rsid w:val="1D4B1817"/>
    <w:rsid w:val="1D4B3D09"/>
    <w:rsid w:val="1D4C2232"/>
    <w:rsid w:val="1D4D5A13"/>
    <w:rsid w:val="1D4F705C"/>
    <w:rsid w:val="1D52644A"/>
    <w:rsid w:val="1D527C33"/>
    <w:rsid w:val="1D556B58"/>
    <w:rsid w:val="1D570900"/>
    <w:rsid w:val="1D573583"/>
    <w:rsid w:val="1D591BE3"/>
    <w:rsid w:val="1D5A03F0"/>
    <w:rsid w:val="1D5C5F16"/>
    <w:rsid w:val="1D5C6D0C"/>
    <w:rsid w:val="1D5F5282"/>
    <w:rsid w:val="1D666D4D"/>
    <w:rsid w:val="1D6848BB"/>
    <w:rsid w:val="1D6923E1"/>
    <w:rsid w:val="1D6A6642"/>
    <w:rsid w:val="1D6B6159"/>
    <w:rsid w:val="1D6B767E"/>
    <w:rsid w:val="1D6E79F7"/>
    <w:rsid w:val="1D747C14"/>
    <w:rsid w:val="1D792624"/>
    <w:rsid w:val="1D7E63B6"/>
    <w:rsid w:val="1D7F39B2"/>
    <w:rsid w:val="1D884F5D"/>
    <w:rsid w:val="1D8E0841"/>
    <w:rsid w:val="1D8E59F2"/>
    <w:rsid w:val="1D900FF2"/>
    <w:rsid w:val="1D905972"/>
    <w:rsid w:val="1D9E208B"/>
    <w:rsid w:val="1DA579CF"/>
    <w:rsid w:val="1DA57C19"/>
    <w:rsid w:val="1DA86D79"/>
    <w:rsid w:val="1DA90A2F"/>
    <w:rsid w:val="1DAD56A0"/>
    <w:rsid w:val="1DB16B56"/>
    <w:rsid w:val="1DB26E14"/>
    <w:rsid w:val="1DB7139E"/>
    <w:rsid w:val="1DBB0E8E"/>
    <w:rsid w:val="1DBE272D"/>
    <w:rsid w:val="1DBE6E87"/>
    <w:rsid w:val="1DBF3D53"/>
    <w:rsid w:val="1DC17709"/>
    <w:rsid w:val="1DC31AF1"/>
    <w:rsid w:val="1DC4291E"/>
    <w:rsid w:val="1DC87107"/>
    <w:rsid w:val="1DCB6BF8"/>
    <w:rsid w:val="1DCD471E"/>
    <w:rsid w:val="1DD41F50"/>
    <w:rsid w:val="1DD44768"/>
    <w:rsid w:val="1DD65CC8"/>
    <w:rsid w:val="1DDA6E3B"/>
    <w:rsid w:val="1DDD53F2"/>
    <w:rsid w:val="1DDD64C7"/>
    <w:rsid w:val="1DE101C9"/>
    <w:rsid w:val="1DE32193"/>
    <w:rsid w:val="1DE33F41"/>
    <w:rsid w:val="1DE53E96"/>
    <w:rsid w:val="1DE735F1"/>
    <w:rsid w:val="1DE77287"/>
    <w:rsid w:val="1DF10211"/>
    <w:rsid w:val="1DF24184"/>
    <w:rsid w:val="1DF83E91"/>
    <w:rsid w:val="1DFC742B"/>
    <w:rsid w:val="1E00770A"/>
    <w:rsid w:val="1E051616"/>
    <w:rsid w:val="1E081EC2"/>
    <w:rsid w:val="1E0A0FD0"/>
    <w:rsid w:val="1E0B3BCB"/>
    <w:rsid w:val="1E0E1C5D"/>
    <w:rsid w:val="1E143523"/>
    <w:rsid w:val="1E15017C"/>
    <w:rsid w:val="1E183C03"/>
    <w:rsid w:val="1E1B36DB"/>
    <w:rsid w:val="1E211487"/>
    <w:rsid w:val="1E234C86"/>
    <w:rsid w:val="1E242AE7"/>
    <w:rsid w:val="1E262080"/>
    <w:rsid w:val="1E263D4A"/>
    <w:rsid w:val="1E2A1B70"/>
    <w:rsid w:val="1E336153"/>
    <w:rsid w:val="1E3365A1"/>
    <w:rsid w:val="1E357617"/>
    <w:rsid w:val="1E366767"/>
    <w:rsid w:val="1E377F98"/>
    <w:rsid w:val="1E3D5C4E"/>
    <w:rsid w:val="1E3E4C49"/>
    <w:rsid w:val="1E4123E2"/>
    <w:rsid w:val="1E415279"/>
    <w:rsid w:val="1E430E84"/>
    <w:rsid w:val="1E4A0B0F"/>
    <w:rsid w:val="1E4C5F8A"/>
    <w:rsid w:val="1E4D747A"/>
    <w:rsid w:val="1E4F15D7"/>
    <w:rsid w:val="1E4F7829"/>
    <w:rsid w:val="1E5135A1"/>
    <w:rsid w:val="1E51534F"/>
    <w:rsid w:val="1E52087C"/>
    <w:rsid w:val="1E537319"/>
    <w:rsid w:val="1E54462B"/>
    <w:rsid w:val="1E5471D3"/>
    <w:rsid w:val="1E57048B"/>
    <w:rsid w:val="1E580F85"/>
    <w:rsid w:val="1E6359B1"/>
    <w:rsid w:val="1E663053"/>
    <w:rsid w:val="1E6833BB"/>
    <w:rsid w:val="1E6A01BF"/>
    <w:rsid w:val="1E6D5146"/>
    <w:rsid w:val="1E731465"/>
    <w:rsid w:val="1E785FC6"/>
    <w:rsid w:val="1E7D6144"/>
    <w:rsid w:val="1E8079E2"/>
    <w:rsid w:val="1E8219AC"/>
    <w:rsid w:val="1E831280"/>
    <w:rsid w:val="1E844CEA"/>
    <w:rsid w:val="1E894AE9"/>
    <w:rsid w:val="1E8C6387"/>
    <w:rsid w:val="1E976529"/>
    <w:rsid w:val="1E9811D0"/>
    <w:rsid w:val="1E9D2342"/>
    <w:rsid w:val="1EA27958"/>
    <w:rsid w:val="1EA8753F"/>
    <w:rsid w:val="1EAB6B83"/>
    <w:rsid w:val="1EAE3AFA"/>
    <w:rsid w:val="1EB31B66"/>
    <w:rsid w:val="1EB6271C"/>
    <w:rsid w:val="1EB96CAC"/>
    <w:rsid w:val="1EBF1ACB"/>
    <w:rsid w:val="1EC71AB5"/>
    <w:rsid w:val="1EC975DB"/>
    <w:rsid w:val="1ED01768"/>
    <w:rsid w:val="1ED11CC3"/>
    <w:rsid w:val="1ED87065"/>
    <w:rsid w:val="1EDC730E"/>
    <w:rsid w:val="1EDC7DA8"/>
    <w:rsid w:val="1EDF295B"/>
    <w:rsid w:val="1EE241F9"/>
    <w:rsid w:val="1EE514B6"/>
    <w:rsid w:val="1EF108E0"/>
    <w:rsid w:val="1EF13976"/>
    <w:rsid w:val="1EF55181"/>
    <w:rsid w:val="1EFB2CA9"/>
    <w:rsid w:val="1EFC175F"/>
    <w:rsid w:val="1EFD146D"/>
    <w:rsid w:val="1F02489B"/>
    <w:rsid w:val="1F026649"/>
    <w:rsid w:val="1F071EB1"/>
    <w:rsid w:val="1F086948"/>
    <w:rsid w:val="1F120F82"/>
    <w:rsid w:val="1F125622"/>
    <w:rsid w:val="1F131F59"/>
    <w:rsid w:val="1F176598"/>
    <w:rsid w:val="1F1878F8"/>
    <w:rsid w:val="1F1A7E37"/>
    <w:rsid w:val="1F1C0141"/>
    <w:rsid w:val="1F1C3BAF"/>
    <w:rsid w:val="1F204D21"/>
    <w:rsid w:val="1F240CB5"/>
    <w:rsid w:val="1F2702C8"/>
    <w:rsid w:val="1F2E37A8"/>
    <w:rsid w:val="1F2E743E"/>
    <w:rsid w:val="1F330EF8"/>
    <w:rsid w:val="1F372530"/>
    <w:rsid w:val="1F3A20D7"/>
    <w:rsid w:val="1F3C7BD3"/>
    <w:rsid w:val="1F405102"/>
    <w:rsid w:val="1F43738D"/>
    <w:rsid w:val="1F4B4494"/>
    <w:rsid w:val="1F4E7AE0"/>
    <w:rsid w:val="1F5275D0"/>
    <w:rsid w:val="1F542D83"/>
    <w:rsid w:val="1F5A46D7"/>
    <w:rsid w:val="1F5B5A4B"/>
    <w:rsid w:val="1F5B6042"/>
    <w:rsid w:val="1F5C3FAB"/>
    <w:rsid w:val="1F5E10C9"/>
    <w:rsid w:val="1F613084"/>
    <w:rsid w:val="1F623A6A"/>
    <w:rsid w:val="1F6258ED"/>
    <w:rsid w:val="1F6313B9"/>
    <w:rsid w:val="1F6317DE"/>
    <w:rsid w:val="1F6A1071"/>
    <w:rsid w:val="1F6B79AB"/>
    <w:rsid w:val="1F7237CF"/>
    <w:rsid w:val="1F793D64"/>
    <w:rsid w:val="1F7C1377"/>
    <w:rsid w:val="1F7C7944"/>
    <w:rsid w:val="1F7E3685"/>
    <w:rsid w:val="1F805A59"/>
    <w:rsid w:val="1F82094E"/>
    <w:rsid w:val="1F823891"/>
    <w:rsid w:val="1F8507F5"/>
    <w:rsid w:val="1F8A72F3"/>
    <w:rsid w:val="1F935587"/>
    <w:rsid w:val="1F9578A2"/>
    <w:rsid w:val="1F996FAD"/>
    <w:rsid w:val="1F9A0F77"/>
    <w:rsid w:val="1FA1314A"/>
    <w:rsid w:val="1FA140B4"/>
    <w:rsid w:val="1FA14221"/>
    <w:rsid w:val="1FA616CA"/>
    <w:rsid w:val="1FAA0FD7"/>
    <w:rsid w:val="1FB75686"/>
    <w:rsid w:val="1FB75B30"/>
    <w:rsid w:val="1FBC4A4A"/>
    <w:rsid w:val="1FBC7140"/>
    <w:rsid w:val="1FBE4C66"/>
    <w:rsid w:val="1FC462F0"/>
    <w:rsid w:val="1FC538BD"/>
    <w:rsid w:val="1FC67118"/>
    <w:rsid w:val="1FCD30FB"/>
    <w:rsid w:val="1FCD59B6"/>
    <w:rsid w:val="1FD10739"/>
    <w:rsid w:val="1FD71C96"/>
    <w:rsid w:val="1FDE0802"/>
    <w:rsid w:val="1FDE13BB"/>
    <w:rsid w:val="1FDE323D"/>
    <w:rsid w:val="1FE0446C"/>
    <w:rsid w:val="1FE12702"/>
    <w:rsid w:val="1FE31903"/>
    <w:rsid w:val="1FE55602"/>
    <w:rsid w:val="1FEA15B7"/>
    <w:rsid w:val="1FEC17D3"/>
    <w:rsid w:val="1FEF264B"/>
    <w:rsid w:val="1FF379A2"/>
    <w:rsid w:val="1FF527DD"/>
    <w:rsid w:val="1FF7750D"/>
    <w:rsid w:val="1FFA0A35"/>
    <w:rsid w:val="1FFA0BD8"/>
    <w:rsid w:val="2000023C"/>
    <w:rsid w:val="20036D61"/>
    <w:rsid w:val="20043457"/>
    <w:rsid w:val="20057C18"/>
    <w:rsid w:val="200A1C59"/>
    <w:rsid w:val="200B777F"/>
    <w:rsid w:val="200C0167"/>
    <w:rsid w:val="20140B53"/>
    <w:rsid w:val="20140D2A"/>
    <w:rsid w:val="201B7F11"/>
    <w:rsid w:val="20205DC0"/>
    <w:rsid w:val="202251F5"/>
    <w:rsid w:val="202312A6"/>
    <w:rsid w:val="2025689D"/>
    <w:rsid w:val="2027280B"/>
    <w:rsid w:val="2031368A"/>
    <w:rsid w:val="20317E6A"/>
    <w:rsid w:val="203211B0"/>
    <w:rsid w:val="20337402"/>
    <w:rsid w:val="20355593"/>
    <w:rsid w:val="203603E1"/>
    <w:rsid w:val="2036283D"/>
    <w:rsid w:val="2037374D"/>
    <w:rsid w:val="20424493"/>
    <w:rsid w:val="20431FE2"/>
    <w:rsid w:val="204505AD"/>
    <w:rsid w:val="20472821"/>
    <w:rsid w:val="204C7AB1"/>
    <w:rsid w:val="204D02CD"/>
    <w:rsid w:val="204D1910"/>
    <w:rsid w:val="204F3E9C"/>
    <w:rsid w:val="204F58BE"/>
    <w:rsid w:val="20534A38"/>
    <w:rsid w:val="205D57F5"/>
    <w:rsid w:val="206107E5"/>
    <w:rsid w:val="206326AF"/>
    <w:rsid w:val="20635651"/>
    <w:rsid w:val="20653333"/>
    <w:rsid w:val="20664974"/>
    <w:rsid w:val="20692184"/>
    <w:rsid w:val="206962EC"/>
    <w:rsid w:val="206E2046"/>
    <w:rsid w:val="207356D7"/>
    <w:rsid w:val="20754A12"/>
    <w:rsid w:val="20795631"/>
    <w:rsid w:val="207A4D10"/>
    <w:rsid w:val="207B1A27"/>
    <w:rsid w:val="207B1DBD"/>
    <w:rsid w:val="20827A42"/>
    <w:rsid w:val="208C266E"/>
    <w:rsid w:val="20937EA1"/>
    <w:rsid w:val="20943C19"/>
    <w:rsid w:val="2096173F"/>
    <w:rsid w:val="209733D2"/>
    <w:rsid w:val="209854B7"/>
    <w:rsid w:val="209C4A81"/>
    <w:rsid w:val="209D66BD"/>
    <w:rsid w:val="20A51982"/>
    <w:rsid w:val="20A51EFA"/>
    <w:rsid w:val="20A65EAB"/>
    <w:rsid w:val="20A830D3"/>
    <w:rsid w:val="20A91472"/>
    <w:rsid w:val="20AA51EA"/>
    <w:rsid w:val="20AA6F98"/>
    <w:rsid w:val="20AF05CE"/>
    <w:rsid w:val="20AF45AF"/>
    <w:rsid w:val="20B07120"/>
    <w:rsid w:val="20B30ABE"/>
    <w:rsid w:val="20B9542D"/>
    <w:rsid w:val="20BE299A"/>
    <w:rsid w:val="20BE47F2"/>
    <w:rsid w:val="20C53DD2"/>
    <w:rsid w:val="20CE0ED9"/>
    <w:rsid w:val="20D12777"/>
    <w:rsid w:val="20D43B74"/>
    <w:rsid w:val="20D67D8D"/>
    <w:rsid w:val="20D913B7"/>
    <w:rsid w:val="20DF5EB9"/>
    <w:rsid w:val="20E76E10"/>
    <w:rsid w:val="20E97FF5"/>
    <w:rsid w:val="20EC5800"/>
    <w:rsid w:val="20F052F3"/>
    <w:rsid w:val="20F05CF6"/>
    <w:rsid w:val="20F20C7E"/>
    <w:rsid w:val="20F36B91"/>
    <w:rsid w:val="20F52909"/>
    <w:rsid w:val="20F55779"/>
    <w:rsid w:val="20F841A8"/>
    <w:rsid w:val="20FA1CCE"/>
    <w:rsid w:val="20FC21BE"/>
    <w:rsid w:val="20FE2069"/>
    <w:rsid w:val="21026DD4"/>
    <w:rsid w:val="21090977"/>
    <w:rsid w:val="21096A8A"/>
    <w:rsid w:val="210D3A64"/>
    <w:rsid w:val="211508B6"/>
    <w:rsid w:val="211735F3"/>
    <w:rsid w:val="211E0376"/>
    <w:rsid w:val="211E725F"/>
    <w:rsid w:val="211F1734"/>
    <w:rsid w:val="21240AF9"/>
    <w:rsid w:val="212935C1"/>
    <w:rsid w:val="212F7F40"/>
    <w:rsid w:val="213732BD"/>
    <w:rsid w:val="213831F5"/>
    <w:rsid w:val="213A773B"/>
    <w:rsid w:val="21415B4F"/>
    <w:rsid w:val="21441798"/>
    <w:rsid w:val="21463165"/>
    <w:rsid w:val="21464F13"/>
    <w:rsid w:val="21472A39"/>
    <w:rsid w:val="21532C9C"/>
    <w:rsid w:val="215A5CB2"/>
    <w:rsid w:val="215D1E34"/>
    <w:rsid w:val="21616487"/>
    <w:rsid w:val="21676C37"/>
    <w:rsid w:val="216C3B10"/>
    <w:rsid w:val="21742407"/>
    <w:rsid w:val="217C0935"/>
    <w:rsid w:val="217F616E"/>
    <w:rsid w:val="21823A71"/>
    <w:rsid w:val="21843C8D"/>
    <w:rsid w:val="21852997"/>
    <w:rsid w:val="218542B2"/>
    <w:rsid w:val="218559A1"/>
    <w:rsid w:val="21865B0D"/>
    <w:rsid w:val="218912A4"/>
    <w:rsid w:val="21894E00"/>
    <w:rsid w:val="218B0B78"/>
    <w:rsid w:val="218E68BA"/>
    <w:rsid w:val="219043E0"/>
    <w:rsid w:val="21913598"/>
    <w:rsid w:val="219502E0"/>
    <w:rsid w:val="21986530"/>
    <w:rsid w:val="21A32365"/>
    <w:rsid w:val="21A8797C"/>
    <w:rsid w:val="21A90465"/>
    <w:rsid w:val="21AE0756"/>
    <w:rsid w:val="21AF25CE"/>
    <w:rsid w:val="21B134AA"/>
    <w:rsid w:val="21B26554"/>
    <w:rsid w:val="21B36276"/>
    <w:rsid w:val="21B51F8B"/>
    <w:rsid w:val="21B65594"/>
    <w:rsid w:val="21B95158"/>
    <w:rsid w:val="21BE719F"/>
    <w:rsid w:val="21BF6311"/>
    <w:rsid w:val="21C10A3D"/>
    <w:rsid w:val="21C4408A"/>
    <w:rsid w:val="21C67E02"/>
    <w:rsid w:val="21CC1AA7"/>
    <w:rsid w:val="21CD1679"/>
    <w:rsid w:val="21CF3B3B"/>
    <w:rsid w:val="21D249F9"/>
    <w:rsid w:val="21D43BB2"/>
    <w:rsid w:val="21DA565B"/>
    <w:rsid w:val="21DE339D"/>
    <w:rsid w:val="21E52424"/>
    <w:rsid w:val="21E75370"/>
    <w:rsid w:val="21E8421C"/>
    <w:rsid w:val="21E94613"/>
    <w:rsid w:val="21E94BBE"/>
    <w:rsid w:val="21EB2F0A"/>
    <w:rsid w:val="21EB7868"/>
    <w:rsid w:val="21ED538F"/>
    <w:rsid w:val="21ED6A0F"/>
    <w:rsid w:val="21EF7359"/>
    <w:rsid w:val="21F017FA"/>
    <w:rsid w:val="21F030D1"/>
    <w:rsid w:val="21F030DA"/>
    <w:rsid w:val="21F244B0"/>
    <w:rsid w:val="21F32933"/>
    <w:rsid w:val="21FE3BD2"/>
    <w:rsid w:val="22016CEF"/>
    <w:rsid w:val="22022186"/>
    <w:rsid w:val="220426D8"/>
    <w:rsid w:val="220B7F0B"/>
    <w:rsid w:val="220F79FB"/>
    <w:rsid w:val="22125238"/>
    <w:rsid w:val="2212699F"/>
    <w:rsid w:val="22127B65"/>
    <w:rsid w:val="22167CDE"/>
    <w:rsid w:val="22171FC1"/>
    <w:rsid w:val="221A39C9"/>
    <w:rsid w:val="221B2448"/>
    <w:rsid w:val="221C0483"/>
    <w:rsid w:val="221C59E2"/>
    <w:rsid w:val="222339F7"/>
    <w:rsid w:val="22235254"/>
    <w:rsid w:val="22237002"/>
    <w:rsid w:val="22252D7A"/>
    <w:rsid w:val="222727D0"/>
    <w:rsid w:val="222A213F"/>
    <w:rsid w:val="222B4109"/>
    <w:rsid w:val="222D60D3"/>
    <w:rsid w:val="22381D9B"/>
    <w:rsid w:val="223B434C"/>
    <w:rsid w:val="22401962"/>
    <w:rsid w:val="22421196"/>
    <w:rsid w:val="22425306"/>
    <w:rsid w:val="22425581"/>
    <w:rsid w:val="22432638"/>
    <w:rsid w:val="22460F43"/>
    <w:rsid w:val="224C47AB"/>
    <w:rsid w:val="22513B6F"/>
    <w:rsid w:val="22521696"/>
    <w:rsid w:val="225278E7"/>
    <w:rsid w:val="2254540E"/>
    <w:rsid w:val="22574EFE"/>
    <w:rsid w:val="22590C76"/>
    <w:rsid w:val="22597779"/>
    <w:rsid w:val="225D0766"/>
    <w:rsid w:val="225E0C71"/>
    <w:rsid w:val="2260355A"/>
    <w:rsid w:val="22610ADC"/>
    <w:rsid w:val="226122F1"/>
    <w:rsid w:val="22623FCE"/>
    <w:rsid w:val="226734D6"/>
    <w:rsid w:val="22690B02"/>
    <w:rsid w:val="226A4C31"/>
    <w:rsid w:val="226A72B6"/>
    <w:rsid w:val="22715FC0"/>
    <w:rsid w:val="22796D63"/>
    <w:rsid w:val="227E248B"/>
    <w:rsid w:val="227F78B3"/>
    <w:rsid w:val="22816985"/>
    <w:rsid w:val="228306E4"/>
    <w:rsid w:val="22851A6B"/>
    <w:rsid w:val="228B62C2"/>
    <w:rsid w:val="228C104B"/>
    <w:rsid w:val="228C2DF9"/>
    <w:rsid w:val="22916627"/>
    <w:rsid w:val="229972C4"/>
    <w:rsid w:val="229B128E"/>
    <w:rsid w:val="22A148C2"/>
    <w:rsid w:val="22A569A5"/>
    <w:rsid w:val="22A85759"/>
    <w:rsid w:val="22AC6FF8"/>
    <w:rsid w:val="22AF6AE8"/>
    <w:rsid w:val="22B1460E"/>
    <w:rsid w:val="22B266F4"/>
    <w:rsid w:val="22B34460"/>
    <w:rsid w:val="22B5712B"/>
    <w:rsid w:val="22BA5BB9"/>
    <w:rsid w:val="22BB502B"/>
    <w:rsid w:val="22BD7457"/>
    <w:rsid w:val="22C00CF5"/>
    <w:rsid w:val="22C2681B"/>
    <w:rsid w:val="22C64DBD"/>
    <w:rsid w:val="22CA3922"/>
    <w:rsid w:val="22CE3649"/>
    <w:rsid w:val="22CF0F38"/>
    <w:rsid w:val="22CF2A3F"/>
    <w:rsid w:val="22D02936"/>
    <w:rsid w:val="22D87DED"/>
    <w:rsid w:val="22DB2588"/>
    <w:rsid w:val="22DB5B2F"/>
    <w:rsid w:val="22DB78DD"/>
    <w:rsid w:val="22DD41AC"/>
    <w:rsid w:val="22DD5403"/>
    <w:rsid w:val="22DD5453"/>
    <w:rsid w:val="22E1689E"/>
    <w:rsid w:val="22E273D4"/>
    <w:rsid w:val="22E37D3C"/>
    <w:rsid w:val="22E61AD1"/>
    <w:rsid w:val="22EF5136"/>
    <w:rsid w:val="22F73459"/>
    <w:rsid w:val="22F8048F"/>
    <w:rsid w:val="230230BC"/>
    <w:rsid w:val="23024E6A"/>
    <w:rsid w:val="23063015"/>
    <w:rsid w:val="23076924"/>
    <w:rsid w:val="2309269C"/>
    <w:rsid w:val="230D0DAA"/>
    <w:rsid w:val="23104268"/>
    <w:rsid w:val="23173FA2"/>
    <w:rsid w:val="231C59A9"/>
    <w:rsid w:val="231D4625"/>
    <w:rsid w:val="231D7012"/>
    <w:rsid w:val="231E77CA"/>
    <w:rsid w:val="2320282F"/>
    <w:rsid w:val="2322375E"/>
    <w:rsid w:val="232703F4"/>
    <w:rsid w:val="23272B22"/>
    <w:rsid w:val="232C0139"/>
    <w:rsid w:val="232D3FB5"/>
    <w:rsid w:val="23332CA9"/>
    <w:rsid w:val="23373531"/>
    <w:rsid w:val="23397238"/>
    <w:rsid w:val="233E3859"/>
    <w:rsid w:val="233F3018"/>
    <w:rsid w:val="2342795C"/>
    <w:rsid w:val="23447230"/>
    <w:rsid w:val="2345397D"/>
    <w:rsid w:val="234A1547"/>
    <w:rsid w:val="234B2192"/>
    <w:rsid w:val="23562D7C"/>
    <w:rsid w:val="23586110"/>
    <w:rsid w:val="235B27CC"/>
    <w:rsid w:val="235E4837"/>
    <w:rsid w:val="235F406A"/>
    <w:rsid w:val="23607DE2"/>
    <w:rsid w:val="23645B24"/>
    <w:rsid w:val="23671DAD"/>
    <w:rsid w:val="23691BCC"/>
    <w:rsid w:val="236C6787"/>
    <w:rsid w:val="236D2C2B"/>
    <w:rsid w:val="236F2B5C"/>
    <w:rsid w:val="23717C27"/>
    <w:rsid w:val="23733FB9"/>
    <w:rsid w:val="23767606"/>
    <w:rsid w:val="237C10C0"/>
    <w:rsid w:val="237C2E6E"/>
    <w:rsid w:val="238479F7"/>
    <w:rsid w:val="23867849"/>
    <w:rsid w:val="238B4E5F"/>
    <w:rsid w:val="238C6E29"/>
    <w:rsid w:val="238F1F25"/>
    <w:rsid w:val="23921DA8"/>
    <w:rsid w:val="23933738"/>
    <w:rsid w:val="2393640A"/>
    <w:rsid w:val="23963804"/>
    <w:rsid w:val="2397336A"/>
    <w:rsid w:val="23977CA8"/>
    <w:rsid w:val="239C52BE"/>
    <w:rsid w:val="239F4DAE"/>
    <w:rsid w:val="23A01AA1"/>
    <w:rsid w:val="23A25AE6"/>
    <w:rsid w:val="23A35ADA"/>
    <w:rsid w:val="23A4692B"/>
    <w:rsid w:val="23A777BF"/>
    <w:rsid w:val="23AF03FB"/>
    <w:rsid w:val="23AF78CF"/>
    <w:rsid w:val="23B74607"/>
    <w:rsid w:val="23BA5135"/>
    <w:rsid w:val="23BA5744"/>
    <w:rsid w:val="23BF2D5B"/>
    <w:rsid w:val="23BF71FF"/>
    <w:rsid w:val="23C6233B"/>
    <w:rsid w:val="23CD2846"/>
    <w:rsid w:val="23D10B88"/>
    <w:rsid w:val="23DA1943"/>
    <w:rsid w:val="23DA1D68"/>
    <w:rsid w:val="23DB78C9"/>
    <w:rsid w:val="23DE179B"/>
    <w:rsid w:val="23DE64F0"/>
    <w:rsid w:val="23E32EED"/>
    <w:rsid w:val="23E34C9B"/>
    <w:rsid w:val="23E40A13"/>
    <w:rsid w:val="23E818E5"/>
    <w:rsid w:val="23ED2245"/>
    <w:rsid w:val="23EF693F"/>
    <w:rsid w:val="23F23130"/>
    <w:rsid w:val="23F377B9"/>
    <w:rsid w:val="23F549CE"/>
    <w:rsid w:val="23F944BF"/>
    <w:rsid w:val="23FD196F"/>
    <w:rsid w:val="23FF6EDC"/>
    <w:rsid w:val="24015121"/>
    <w:rsid w:val="2401522B"/>
    <w:rsid w:val="24042E63"/>
    <w:rsid w:val="2406098A"/>
    <w:rsid w:val="24076E29"/>
    <w:rsid w:val="240F5A90"/>
    <w:rsid w:val="24106ADF"/>
    <w:rsid w:val="241206BD"/>
    <w:rsid w:val="24150BCD"/>
    <w:rsid w:val="24181DE8"/>
    <w:rsid w:val="2419690F"/>
    <w:rsid w:val="241C2D37"/>
    <w:rsid w:val="241C4CAC"/>
    <w:rsid w:val="241E6A95"/>
    <w:rsid w:val="24213A15"/>
    <w:rsid w:val="2424182F"/>
    <w:rsid w:val="242766DD"/>
    <w:rsid w:val="242C2FAD"/>
    <w:rsid w:val="24316C9A"/>
    <w:rsid w:val="24385176"/>
    <w:rsid w:val="243948BB"/>
    <w:rsid w:val="243A0633"/>
    <w:rsid w:val="243E0123"/>
    <w:rsid w:val="243E45C7"/>
    <w:rsid w:val="24447C38"/>
    <w:rsid w:val="244514B2"/>
    <w:rsid w:val="244F2331"/>
    <w:rsid w:val="24516A78"/>
    <w:rsid w:val="2452597D"/>
    <w:rsid w:val="24545B99"/>
    <w:rsid w:val="245636BF"/>
    <w:rsid w:val="245931AF"/>
    <w:rsid w:val="24596DF2"/>
    <w:rsid w:val="245C2C9F"/>
    <w:rsid w:val="245F009A"/>
    <w:rsid w:val="245F3A80"/>
    <w:rsid w:val="246456B0"/>
    <w:rsid w:val="24696BB1"/>
    <w:rsid w:val="24697FC3"/>
    <w:rsid w:val="246A0F18"/>
    <w:rsid w:val="246B7871"/>
    <w:rsid w:val="24756790"/>
    <w:rsid w:val="247715B5"/>
    <w:rsid w:val="247955FF"/>
    <w:rsid w:val="247C6E9E"/>
    <w:rsid w:val="247E6772"/>
    <w:rsid w:val="247F4599"/>
    <w:rsid w:val="247F5358"/>
    <w:rsid w:val="24805BC8"/>
    <w:rsid w:val="24857B00"/>
    <w:rsid w:val="249D248F"/>
    <w:rsid w:val="249D7540"/>
    <w:rsid w:val="24A0493A"/>
    <w:rsid w:val="24A23920"/>
    <w:rsid w:val="24A87C93"/>
    <w:rsid w:val="24AC14AE"/>
    <w:rsid w:val="24AF22FD"/>
    <w:rsid w:val="24B228BF"/>
    <w:rsid w:val="24B30B11"/>
    <w:rsid w:val="24B46637"/>
    <w:rsid w:val="24B60AEF"/>
    <w:rsid w:val="24B61435"/>
    <w:rsid w:val="24B91EA0"/>
    <w:rsid w:val="24B959FC"/>
    <w:rsid w:val="24BB1678"/>
    <w:rsid w:val="24BC729A"/>
    <w:rsid w:val="24C10A7F"/>
    <w:rsid w:val="24C130F1"/>
    <w:rsid w:val="24C34ACD"/>
    <w:rsid w:val="24C3687B"/>
    <w:rsid w:val="24C77039"/>
    <w:rsid w:val="24CB62DD"/>
    <w:rsid w:val="24CE594B"/>
    <w:rsid w:val="24D33AF5"/>
    <w:rsid w:val="24D47199"/>
    <w:rsid w:val="24D740D4"/>
    <w:rsid w:val="24ED0FDA"/>
    <w:rsid w:val="24F01070"/>
    <w:rsid w:val="24F13E55"/>
    <w:rsid w:val="24F5261A"/>
    <w:rsid w:val="24F56782"/>
    <w:rsid w:val="24FB2EF6"/>
    <w:rsid w:val="25007ACF"/>
    <w:rsid w:val="25023588"/>
    <w:rsid w:val="2503311B"/>
    <w:rsid w:val="25047F39"/>
    <w:rsid w:val="250824DF"/>
    <w:rsid w:val="250A2AAC"/>
    <w:rsid w:val="250B703F"/>
    <w:rsid w:val="250F1AC0"/>
    <w:rsid w:val="25180974"/>
    <w:rsid w:val="252235A1"/>
    <w:rsid w:val="252763E3"/>
    <w:rsid w:val="25293AE6"/>
    <w:rsid w:val="252B4B4C"/>
    <w:rsid w:val="252C41B1"/>
    <w:rsid w:val="252C455E"/>
    <w:rsid w:val="253819E2"/>
    <w:rsid w:val="253D1676"/>
    <w:rsid w:val="25406339"/>
    <w:rsid w:val="2544481E"/>
    <w:rsid w:val="2556149D"/>
    <w:rsid w:val="25573AD0"/>
    <w:rsid w:val="25580874"/>
    <w:rsid w:val="255B6AB3"/>
    <w:rsid w:val="256364E8"/>
    <w:rsid w:val="2565676C"/>
    <w:rsid w:val="25675458"/>
    <w:rsid w:val="25686B7C"/>
    <w:rsid w:val="25697422"/>
    <w:rsid w:val="256A66B5"/>
    <w:rsid w:val="25710BA2"/>
    <w:rsid w:val="25710DD0"/>
    <w:rsid w:val="25714529"/>
    <w:rsid w:val="257760D2"/>
    <w:rsid w:val="257F62B3"/>
    <w:rsid w:val="2580269B"/>
    <w:rsid w:val="2580570A"/>
    <w:rsid w:val="258549AA"/>
    <w:rsid w:val="25893A81"/>
    <w:rsid w:val="258C6DD6"/>
    <w:rsid w:val="258E50DA"/>
    <w:rsid w:val="259024C0"/>
    <w:rsid w:val="25914C15"/>
    <w:rsid w:val="25945458"/>
    <w:rsid w:val="25955F3A"/>
    <w:rsid w:val="2599128D"/>
    <w:rsid w:val="25997FDC"/>
    <w:rsid w:val="25A20B86"/>
    <w:rsid w:val="25A30ADD"/>
    <w:rsid w:val="25A76974"/>
    <w:rsid w:val="25A85415"/>
    <w:rsid w:val="25A953FC"/>
    <w:rsid w:val="25AB17E9"/>
    <w:rsid w:val="25AB1EB1"/>
    <w:rsid w:val="25AD72C5"/>
    <w:rsid w:val="25AE38CA"/>
    <w:rsid w:val="25B12B77"/>
    <w:rsid w:val="25B3098D"/>
    <w:rsid w:val="25B60C44"/>
    <w:rsid w:val="25B91BC2"/>
    <w:rsid w:val="25C1100C"/>
    <w:rsid w:val="25C95B03"/>
    <w:rsid w:val="25CD79B1"/>
    <w:rsid w:val="25D1772C"/>
    <w:rsid w:val="25D37687"/>
    <w:rsid w:val="25D7082F"/>
    <w:rsid w:val="25DA1352"/>
    <w:rsid w:val="25DC5E46"/>
    <w:rsid w:val="25E12E26"/>
    <w:rsid w:val="25E34B6F"/>
    <w:rsid w:val="25E44CFA"/>
    <w:rsid w:val="25E90563"/>
    <w:rsid w:val="25EB6FD9"/>
    <w:rsid w:val="25F0369F"/>
    <w:rsid w:val="25F34DFB"/>
    <w:rsid w:val="25F60649"/>
    <w:rsid w:val="25F96224"/>
    <w:rsid w:val="25FA3714"/>
    <w:rsid w:val="26025C51"/>
    <w:rsid w:val="260517E7"/>
    <w:rsid w:val="26065BCC"/>
    <w:rsid w:val="260B04D9"/>
    <w:rsid w:val="260C1DEB"/>
    <w:rsid w:val="260D4251"/>
    <w:rsid w:val="2613738E"/>
    <w:rsid w:val="26153106"/>
    <w:rsid w:val="261750D0"/>
    <w:rsid w:val="261915A4"/>
    <w:rsid w:val="261E1301"/>
    <w:rsid w:val="261F5D33"/>
    <w:rsid w:val="26216AA5"/>
    <w:rsid w:val="26226839"/>
    <w:rsid w:val="262475DA"/>
    <w:rsid w:val="2631375B"/>
    <w:rsid w:val="263317DE"/>
    <w:rsid w:val="263B7010"/>
    <w:rsid w:val="263C0693"/>
    <w:rsid w:val="263D3ECE"/>
    <w:rsid w:val="264D28A0"/>
    <w:rsid w:val="265514D7"/>
    <w:rsid w:val="265579A6"/>
    <w:rsid w:val="265754CC"/>
    <w:rsid w:val="26581613"/>
    <w:rsid w:val="2659154E"/>
    <w:rsid w:val="265C5285"/>
    <w:rsid w:val="265F2A99"/>
    <w:rsid w:val="265F7546"/>
    <w:rsid w:val="26606A77"/>
    <w:rsid w:val="26610CE2"/>
    <w:rsid w:val="2661634B"/>
    <w:rsid w:val="26622EB6"/>
    <w:rsid w:val="266320C3"/>
    <w:rsid w:val="2669113E"/>
    <w:rsid w:val="266F2816"/>
    <w:rsid w:val="26705BD1"/>
    <w:rsid w:val="26735D0C"/>
    <w:rsid w:val="2675144D"/>
    <w:rsid w:val="26753BA5"/>
    <w:rsid w:val="26797B39"/>
    <w:rsid w:val="267F67D1"/>
    <w:rsid w:val="26870241"/>
    <w:rsid w:val="268C062B"/>
    <w:rsid w:val="268D0EEE"/>
    <w:rsid w:val="268D7140"/>
    <w:rsid w:val="269134E6"/>
    <w:rsid w:val="26964247"/>
    <w:rsid w:val="26966A8E"/>
    <w:rsid w:val="26997893"/>
    <w:rsid w:val="269C3827"/>
    <w:rsid w:val="269C4C4F"/>
    <w:rsid w:val="26B77320"/>
    <w:rsid w:val="26B91CE3"/>
    <w:rsid w:val="26BB3FF1"/>
    <w:rsid w:val="26C2328E"/>
    <w:rsid w:val="26C80178"/>
    <w:rsid w:val="26CC7C68"/>
    <w:rsid w:val="26D0702D"/>
    <w:rsid w:val="26D2548F"/>
    <w:rsid w:val="26D46B1D"/>
    <w:rsid w:val="26D5634E"/>
    <w:rsid w:val="26D86C4B"/>
    <w:rsid w:val="26DC1E92"/>
    <w:rsid w:val="26DF5CC2"/>
    <w:rsid w:val="26E50D2A"/>
    <w:rsid w:val="26E52AD8"/>
    <w:rsid w:val="26E5365D"/>
    <w:rsid w:val="26E56F7C"/>
    <w:rsid w:val="26E70054"/>
    <w:rsid w:val="26EA00EF"/>
    <w:rsid w:val="26EA4592"/>
    <w:rsid w:val="26ED5E31"/>
    <w:rsid w:val="26EF3957"/>
    <w:rsid w:val="26F15921"/>
    <w:rsid w:val="26F40F6D"/>
    <w:rsid w:val="26FC6074"/>
    <w:rsid w:val="27006571"/>
    <w:rsid w:val="27074D51"/>
    <w:rsid w:val="270813B3"/>
    <w:rsid w:val="270B1C7C"/>
    <w:rsid w:val="270C4509"/>
    <w:rsid w:val="270C7816"/>
    <w:rsid w:val="27117D71"/>
    <w:rsid w:val="27120C64"/>
    <w:rsid w:val="27140AE9"/>
    <w:rsid w:val="27167136"/>
    <w:rsid w:val="271771F8"/>
    <w:rsid w:val="271A0FDD"/>
    <w:rsid w:val="271C50A6"/>
    <w:rsid w:val="272330E3"/>
    <w:rsid w:val="272555CB"/>
    <w:rsid w:val="272720F7"/>
    <w:rsid w:val="272802B9"/>
    <w:rsid w:val="272950BB"/>
    <w:rsid w:val="27297642"/>
    <w:rsid w:val="2736411B"/>
    <w:rsid w:val="27396CFD"/>
    <w:rsid w:val="2746067F"/>
    <w:rsid w:val="274A7F66"/>
    <w:rsid w:val="274F2EBC"/>
    <w:rsid w:val="27561C28"/>
    <w:rsid w:val="27575465"/>
    <w:rsid w:val="275763AD"/>
    <w:rsid w:val="275859A0"/>
    <w:rsid w:val="275B6A30"/>
    <w:rsid w:val="275E55D9"/>
    <w:rsid w:val="27651E6B"/>
    <w:rsid w:val="2765535C"/>
    <w:rsid w:val="27673E35"/>
    <w:rsid w:val="2768312C"/>
    <w:rsid w:val="2768333A"/>
    <w:rsid w:val="27683CB5"/>
    <w:rsid w:val="27693709"/>
    <w:rsid w:val="276C3578"/>
    <w:rsid w:val="277009FB"/>
    <w:rsid w:val="277072C8"/>
    <w:rsid w:val="27734267"/>
    <w:rsid w:val="27736336"/>
    <w:rsid w:val="27764A97"/>
    <w:rsid w:val="27781B9E"/>
    <w:rsid w:val="278038A5"/>
    <w:rsid w:val="2784033C"/>
    <w:rsid w:val="27840543"/>
    <w:rsid w:val="27870033"/>
    <w:rsid w:val="27882BAF"/>
    <w:rsid w:val="27897907"/>
    <w:rsid w:val="278C73F8"/>
    <w:rsid w:val="279B763B"/>
    <w:rsid w:val="27A03CDC"/>
    <w:rsid w:val="27A24E6D"/>
    <w:rsid w:val="27A716DB"/>
    <w:rsid w:val="27A91B9E"/>
    <w:rsid w:val="27A97FAA"/>
    <w:rsid w:val="27AC2100"/>
    <w:rsid w:val="27AE736E"/>
    <w:rsid w:val="27B70919"/>
    <w:rsid w:val="27BA7103"/>
    <w:rsid w:val="27BB1438"/>
    <w:rsid w:val="27BB7CDD"/>
    <w:rsid w:val="27BC02DD"/>
    <w:rsid w:val="27BD29B1"/>
    <w:rsid w:val="27BD3A55"/>
    <w:rsid w:val="27C3777F"/>
    <w:rsid w:val="27C425A7"/>
    <w:rsid w:val="27C546B8"/>
    <w:rsid w:val="27C9064C"/>
    <w:rsid w:val="27C923FA"/>
    <w:rsid w:val="27C9309C"/>
    <w:rsid w:val="27C937EA"/>
    <w:rsid w:val="27D02541"/>
    <w:rsid w:val="27D27A32"/>
    <w:rsid w:val="27D74B17"/>
    <w:rsid w:val="27D8088F"/>
    <w:rsid w:val="27DC037F"/>
    <w:rsid w:val="27E15995"/>
    <w:rsid w:val="27E8625B"/>
    <w:rsid w:val="27E86D24"/>
    <w:rsid w:val="27E9484A"/>
    <w:rsid w:val="27EB2370"/>
    <w:rsid w:val="27EB3EFA"/>
    <w:rsid w:val="27EC7936"/>
    <w:rsid w:val="27F102B6"/>
    <w:rsid w:val="27FA25B3"/>
    <w:rsid w:val="27FB7D3E"/>
    <w:rsid w:val="27FC00CE"/>
    <w:rsid w:val="27FD02F5"/>
    <w:rsid w:val="27FD20A3"/>
    <w:rsid w:val="28025C98"/>
    <w:rsid w:val="280D0539"/>
    <w:rsid w:val="280E605F"/>
    <w:rsid w:val="28124026"/>
    <w:rsid w:val="28136355"/>
    <w:rsid w:val="281439E4"/>
    <w:rsid w:val="28153891"/>
    <w:rsid w:val="281715EC"/>
    <w:rsid w:val="28180D37"/>
    <w:rsid w:val="281A3657"/>
    <w:rsid w:val="281F64BE"/>
    <w:rsid w:val="28213FE4"/>
    <w:rsid w:val="28215D92"/>
    <w:rsid w:val="282317C5"/>
    <w:rsid w:val="282615FA"/>
    <w:rsid w:val="282F4953"/>
    <w:rsid w:val="283848D1"/>
    <w:rsid w:val="283945BE"/>
    <w:rsid w:val="283A50A6"/>
    <w:rsid w:val="283F090E"/>
    <w:rsid w:val="283F26BC"/>
    <w:rsid w:val="283F6654"/>
    <w:rsid w:val="2842515E"/>
    <w:rsid w:val="284321AC"/>
    <w:rsid w:val="28441A80"/>
    <w:rsid w:val="28453821"/>
    <w:rsid w:val="2846056D"/>
    <w:rsid w:val="284E28FF"/>
    <w:rsid w:val="28507AE6"/>
    <w:rsid w:val="285223EF"/>
    <w:rsid w:val="2853707D"/>
    <w:rsid w:val="28551EE0"/>
    <w:rsid w:val="286454FC"/>
    <w:rsid w:val="2868608B"/>
    <w:rsid w:val="286A0915"/>
    <w:rsid w:val="286A4149"/>
    <w:rsid w:val="28703921"/>
    <w:rsid w:val="2871137F"/>
    <w:rsid w:val="28754330"/>
    <w:rsid w:val="287546F6"/>
    <w:rsid w:val="287767FF"/>
    <w:rsid w:val="287A4FB1"/>
    <w:rsid w:val="287A5DB9"/>
    <w:rsid w:val="287E0E75"/>
    <w:rsid w:val="287E31E4"/>
    <w:rsid w:val="288028B9"/>
    <w:rsid w:val="28815245"/>
    <w:rsid w:val="28844820"/>
    <w:rsid w:val="288527C5"/>
    <w:rsid w:val="28862099"/>
    <w:rsid w:val="28940C5A"/>
    <w:rsid w:val="28956B27"/>
    <w:rsid w:val="289971A1"/>
    <w:rsid w:val="289E5635"/>
    <w:rsid w:val="28A6273B"/>
    <w:rsid w:val="28AA282E"/>
    <w:rsid w:val="28AC5FA3"/>
    <w:rsid w:val="28B12811"/>
    <w:rsid w:val="28B54669"/>
    <w:rsid w:val="28B60BD0"/>
    <w:rsid w:val="28BA1D43"/>
    <w:rsid w:val="28BD0ACD"/>
    <w:rsid w:val="28C121E9"/>
    <w:rsid w:val="28C52BC1"/>
    <w:rsid w:val="28CA4984"/>
    <w:rsid w:val="28CC55ED"/>
    <w:rsid w:val="28CE3357"/>
    <w:rsid w:val="28D63020"/>
    <w:rsid w:val="28D84A3A"/>
    <w:rsid w:val="28D92B11"/>
    <w:rsid w:val="28DA0F6A"/>
    <w:rsid w:val="28DB1EAA"/>
    <w:rsid w:val="28DB23E5"/>
    <w:rsid w:val="28DC7F0B"/>
    <w:rsid w:val="28DD5374"/>
    <w:rsid w:val="28DF17A9"/>
    <w:rsid w:val="28E31299"/>
    <w:rsid w:val="28E31E7F"/>
    <w:rsid w:val="28E50522"/>
    <w:rsid w:val="28E55011"/>
    <w:rsid w:val="28E84B02"/>
    <w:rsid w:val="28E8724B"/>
    <w:rsid w:val="28EB1A80"/>
    <w:rsid w:val="28EB63A0"/>
    <w:rsid w:val="28EE4EC3"/>
    <w:rsid w:val="28F11B96"/>
    <w:rsid w:val="28F17E5A"/>
    <w:rsid w:val="28F3713A"/>
    <w:rsid w:val="28F45446"/>
    <w:rsid w:val="28FC05AD"/>
    <w:rsid w:val="28FD4BE5"/>
    <w:rsid w:val="29001E4B"/>
    <w:rsid w:val="29032BAF"/>
    <w:rsid w:val="290367AE"/>
    <w:rsid w:val="29057462"/>
    <w:rsid w:val="290860F5"/>
    <w:rsid w:val="2909544E"/>
    <w:rsid w:val="290D6316"/>
    <w:rsid w:val="290F6532"/>
    <w:rsid w:val="29144A30"/>
    <w:rsid w:val="291D29FD"/>
    <w:rsid w:val="29212CA0"/>
    <w:rsid w:val="2923035D"/>
    <w:rsid w:val="29257B04"/>
    <w:rsid w:val="292813A2"/>
    <w:rsid w:val="292D6432"/>
    <w:rsid w:val="292E4C0A"/>
    <w:rsid w:val="292F1467"/>
    <w:rsid w:val="29340FC6"/>
    <w:rsid w:val="29341AF5"/>
    <w:rsid w:val="29355A4B"/>
    <w:rsid w:val="29370BBF"/>
    <w:rsid w:val="293715E5"/>
    <w:rsid w:val="2938125A"/>
    <w:rsid w:val="293D4E4D"/>
    <w:rsid w:val="29424212"/>
    <w:rsid w:val="2943636D"/>
    <w:rsid w:val="29463FF2"/>
    <w:rsid w:val="29491A44"/>
    <w:rsid w:val="29491FC1"/>
    <w:rsid w:val="29493036"/>
    <w:rsid w:val="294B6EAA"/>
    <w:rsid w:val="294D2BB7"/>
    <w:rsid w:val="294E0E09"/>
    <w:rsid w:val="29517F3C"/>
    <w:rsid w:val="295A7AA3"/>
    <w:rsid w:val="295D03EA"/>
    <w:rsid w:val="295D104C"/>
    <w:rsid w:val="295E496F"/>
    <w:rsid w:val="295E4DC4"/>
    <w:rsid w:val="29642C34"/>
    <w:rsid w:val="29657F00"/>
    <w:rsid w:val="29695641"/>
    <w:rsid w:val="296E0A09"/>
    <w:rsid w:val="29723EB1"/>
    <w:rsid w:val="297665B1"/>
    <w:rsid w:val="297B3BC8"/>
    <w:rsid w:val="297D349C"/>
    <w:rsid w:val="297E0A40"/>
    <w:rsid w:val="29840822"/>
    <w:rsid w:val="29875C88"/>
    <w:rsid w:val="298E56A9"/>
    <w:rsid w:val="298F6A8D"/>
    <w:rsid w:val="29930C67"/>
    <w:rsid w:val="29945C1B"/>
    <w:rsid w:val="2996455E"/>
    <w:rsid w:val="2996630C"/>
    <w:rsid w:val="29984196"/>
    <w:rsid w:val="299B1B74"/>
    <w:rsid w:val="299B2793"/>
    <w:rsid w:val="299D4A99"/>
    <w:rsid w:val="299F21F8"/>
    <w:rsid w:val="29A42C91"/>
    <w:rsid w:val="29A7676B"/>
    <w:rsid w:val="29A80F84"/>
    <w:rsid w:val="29AC1FD3"/>
    <w:rsid w:val="29AD1A08"/>
    <w:rsid w:val="29B12FCA"/>
    <w:rsid w:val="29B33362"/>
    <w:rsid w:val="29B52B4D"/>
    <w:rsid w:val="29B6075C"/>
    <w:rsid w:val="29B75C37"/>
    <w:rsid w:val="29BA1071"/>
    <w:rsid w:val="29BA649E"/>
    <w:rsid w:val="29BD1AEA"/>
    <w:rsid w:val="29C06CFF"/>
    <w:rsid w:val="29C15A7E"/>
    <w:rsid w:val="29C54E43"/>
    <w:rsid w:val="29C70BBB"/>
    <w:rsid w:val="29CC4423"/>
    <w:rsid w:val="29D0234B"/>
    <w:rsid w:val="29D3130E"/>
    <w:rsid w:val="29D33F06"/>
    <w:rsid w:val="29D60DFE"/>
    <w:rsid w:val="29D86924"/>
    <w:rsid w:val="29DB4666"/>
    <w:rsid w:val="29DE3ED0"/>
    <w:rsid w:val="29DE4A03"/>
    <w:rsid w:val="29E12350"/>
    <w:rsid w:val="29E15FE8"/>
    <w:rsid w:val="29E16E2C"/>
    <w:rsid w:val="29E474E3"/>
    <w:rsid w:val="29E7300B"/>
    <w:rsid w:val="29EB2AFB"/>
    <w:rsid w:val="29EC6874"/>
    <w:rsid w:val="29F55728"/>
    <w:rsid w:val="29F57E76"/>
    <w:rsid w:val="29FC651C"/>
    <w:rsid w:val="29FD638B"/>
    <w:rsid w:val="29FE1111"/>
    <w:rsid w:val="2A042187"/>
    <w:rsid w:val="2A057F48"/>
    <w:rsid w:val="2A092BF8"/>
    <w:rsid w:val="2A0C585F"/>
    <w:rsid w:val="2A133E00"/>
    <w:rsid w:val="2A160346"/>
    <w:rsid w:val="2A1903BE"/>
    <w:rsid w:val="2A1B1C15"/>
    <w:rsid w:val="2A1D2303"/>
    <w:rsid w:val="2A1D2C3D"/>
    <w:rsid w:val="2A1D7F8F"/>
    <w:rsid w:val="2A225D48"/>
    <w:rsid w:val="2A2B114A"/>
    <w:rsid w:val="2A2C6C70"/>
    <w:rsid w:val="2A2F1245"/>
    <w:rsid w:val="2A33343F"/>
    <w:rsid w:val="2A36189D"/>
    <w:rsid w:val="2A3A75DF"/>
    <w:rsid w:val="2A3D2565"/>
    <w:rsid w:val="2A407D3D"/>
    <w:rsid w:val="2A4366FC"/>
    <w:rsid w:val="2A467A05"/>
    <w:rsid w:val="2A467D32"/>
    <w:rsid w:val="2A475858"/>
    <w:rsid w:val="2A487EF6"/>
    <w:rsid w:val="2A495E04"/>
    <w:rsid w:val="2A4C2E6E"/>
    <w:rsid w:val="2A557F75"/>
    <w:rsid w:val="2A5A6C6E"/>
    <w:rsid w:val="2A5F05C6"/>
    <w:rsid w:val="2A61691A"/>
    <w:rsid w:val="2A656DB9"/>
    <w:rsid w:val="2A657544"/>
    <w:rsid w:val="2A6952D3"/>
    <w:rsid w:val="2A6A27F6"/>
    <w:rsid w:val="2A6B6DA7"/>
    <w:rsid w:val="2A6C0E08"/>
    <w:rsid w:val="2A704DAF"/>
    <w:rsid w:val="2A727FC6"/>
    <w:rsid w:val="2A741800"/>
    <w:rsid w:val="2A7523C5"/>
    <w:rsid w:val="2A77613D"/>
    <w:rsid w:val="2A7F3244"/>
    <w:rsid w:val="2A842608"/>
    <w:rsid w:val="2A88034A"/>
    <w:rsid w:val="2A881B31"/>
    <w:rsid w:val="2A900FAD"/>
    <w:rsid w:val="2A925961"/>
    <w:rsid w:val="2A975D5E"/>
    <w:rsid w:val="2A9A007E"/>
    <w:rsid w:val="2A9C5FE2"/>
    <w:rsid w:val="2AA647D2"/>
    <w:rsid w:val="2AA809EC"/>
    <w:rsid w:val="2AAF593A"/>
    <w:rsid w:val="2AB2415C"/>
    <w:rsid w:val="2AB62F68"/>
    <w:rsid w:val="2AB7478C"/>
    <w:rsid w:val="2AB74D6A"/>
    <w:rsid w:val="2ABA427C"/>
    <w:rsid w:val="2AC04F1A"/>
    <w:rsid w:val="2AC135BE"/>
    <w:rsid w:val="2AC267B7"/>
    <w:rsid w:val="2AC450FA"/>
    <w:rsid w:val="2AC55D9B"/>
    <w:rsid w:val="2AC614F2"/>
    <w:rsid w:val="2ACA61BA"/>
    <w:rsid w:val="2ACA6894"/>
    <w:rsid w:val="2ACC1EE6"/>
    <w:rsid w:val="2ACD0AF9"/>
    <w:rsid w:val="2ACE375A"/>
    <w:rsid w:val="2AD0584D"/>
    <w:rsid w:val="2AD13CE7"/>
    <w:rsid w:val="2AD25A69"/>
    <w:rsid w:val="2AD27586"/>
    <w:rsid w:val="2AD417EA"/>
    <w:rsid w:val="2AD4533E"/>
    <w:rsid w:val="2AD90BA6"/>
    <w:rsid w:val="2ADB2B70"/>
    <w:rsid w:val="2ADD2C86"/>
    <w:rsid w:val="2ADE440E"/>
    <w:rsid w:val="2ADF6D6F"/>
    <w:rsid w:val="2AE17FD7"/>
    <w:rsid w:val="2AE21620"/>
    <w:rsid w:val="2AE2583B"/>
    <w:rsid w:val="2AE306FC"/>
    <w:rsid w:val="2AE35581"/>
    <w:rsid w:val="2AE453BF"/>
    <w:rsid w:val="2AF206A6"/>
    <w:rsid w:val="2AF216CE"/>
    <w:rsid w:val="2AF3311B"/>
    <w:rsid w:val="2AF4778E"/>
    <w:rsid w:val="2AF624B5"/>
    <w:rsid w:val="2AF75775"/>
    <w:rsid w:val="2AFC2AE6"/>
    <w:rsid w:val="2AFF673F"/>
    <w:rsid w:val="2B011EAB"/>
    <w:rsid w:val="2B013C59"/>
    <w:rsid w:val="2B05182B"/>
    <w:rsid w:val="2B052FC7"/>
    <w:rsid w:val="2B0802A7"/>
    <w:rsid w:val="2B0851AF"/>
    <w:rsid w:val="2B0A56D3"/>
    <w:rsid w:val="2B0D6AA1"/>
    <w:rsid w:val="2B0E4E6B"/>
    <w:rsid w:val="2B157704"/>
    <w:rsid w:val="2B177920"/>
    <w:rsid w:val="2B1B11BE"/>
    <w:rsid w:val="2B1B5D71"/>
    <w:rsid w:val="2B1C0A93"/>
    <w:rsid w:val="2B247EFA"/>
    <w:rsid w:val="2B253B3B"/>
    <w:rsid w:val="2B272F32"/>
    <w:rsid w:val="2B2A31B0"/>
    <w:rsid w:val="2B2A5FDF"/>
    <w:rsid w:val="2B2A608D"/>
    <w:rsid w:val="2B2A7653"/>
    <w:rsid w:val="2B2D7144"/>
    <w:rsid w:val="2B312790"/>
    <w:rsid w:val="2B363B77"/>
    <w:rsid w:val="2B381345"/>
    <w:rsid w:val="2B440C94"/>
    <w:rsid w:val="2B4529F0"/>
    <w:rsid w:val="2B473E60"/>
    <w:rsid w:val="2B4C5206"/>
    <w:rsid w:val="2B4C581C"/>
    <w:rsid w:val="2B4C75CA"/>
    <w:rsid w:val="2B4F5D72"/>
    <w:rsid w:val="2B541FB4"/>
    <w:rsid w:val="2B58188B"/>
    <w:rsid w:val="2B58786A"/>
    <w:rsid w:val="2B595843"/>
    <w:rsid w:val="2B5E460E"/>
    <w:rsid w:val="2B6050C6"/>
    <w:rsid w:val="2B613AAF"/>
    <w:rsid w:val="2B642678"/>
    <w:rsid w:val="2B65068C"/>
    <w:rsid w:val="2B6568DD"/>
    <w:rsid w:val="2B683CD8"/>
    <w:rsid w:val="2B694081"/>
    <w:rsid w:val="2B6C3158"/>
    <w:rsid w:val="2B6C33B0"/>
    <w:rsid w:val="2B7034F9"/>
    <w:rsid w:val="2B707130"/>
    <w:rsid w:val="2B734D8B"/>
    <w:rsid w:val="2B7408CF"/>
    <w:rsid w:val="2B797206"/>
    <w:rsid w:val="2B7C172F"/>
    <w:rsid w:val="2B85488A"/>
    <w:rsid w:val="2B8C79C6"/>
    <w:rsid w:val="2B8F5708"/>
    <w:rsid w:val="2B911481"/>
    <w:rsid w:val="2B9713C8"/>
    <w:rsid w:val="2B9A325F"/>
    <w:rsid w:val="2BA03472"/>
    <w:rsid w:val="2BA423EE"/>
    <w:rsid w:val="2BA63CB9"/>
    <w:rsid w:val="2BAC0068"/>
    <w:rsid w:val="2BAD0090"/>
    <w:rsid w:val="2BAF6202"/>
    <w:rsid w:val="2BB2531E"/>
    <w:rsid w:val="2BBC4306"/>
    <w:rsid w:val="2BBE7D9C"/>
    <w:rsid w:val="2BC1672C"/>
    <w:rsid w:val="2BD22280"/>
    <w:rsid w:val="2BD4355A"/>
    <w:rsid w:val="2BD66E93"/>
    <w:rsid w:val="2BDB7902"/>
    <w:rsid w:val="2BDD0222"/>
    <w:rsid w:val="2BDE6FCB"/>
    <w:rsid w:val="2BDF5456"/>
    <w:rsid w:val="2BE275E4"/>
    <w:rsid w:val="2BEE7F61"/>
    <w:rsid w:val="2BEF6B68"/>
    <w:rsid w:val="2BF00337"/>
    <w:rsid w:val="2BF13CCD"/>
    <w:rsid w:val="2BF33EE9"/>
    <w:rsid w:val="2BF50E7C"/>
    <w:rsid w:val="2BF51A0F"/>
    <w:rsid w:val="2BF8505C"/>
    <w:rsid w:val="2BF87E00"/>
    <w:rsid w:val="2C00757F"/>
    <w:rsid w:val="2C0559CB"/>
    <w:rsid w:val="2C057779"/>
    <w:rsid w:val="2C0714FF"/>
    <w:rsid w:val="2C071743"/>
    <w:rsid w:val="2C0B2FE1"/>
    <w:rsid w:val="2C0E2AD1"/>
    <w:rsid w:val="2C155C0E"/>
    <w:rsid w:val="2C162593"/>
    <w:rsid w:val="2C217F9A"/>
    <w:rsid w:val="2C235173"/>
    <w:rsid w:val="2C23677B"/>
    <w:rsid w:val="2C2422F5"/>
    <w:rsid w:val="2C254845"/>
    <w:rsid w:val="2C263956"/>
    <w:rsid w:val="2C292AB5"/>
    <w:rsid w:val="2C2C11A9"/>
    <w:rsid w:val="2C2F0ADD"/>
    <w:rsid w:val="2C3047F6"/>
    <w:rsid w:val="2C304F93"/>
    <w:rsid w:val="2C31056E"/>
    <w:rsid w:val="2C33078A"/>
    <w:rsid w:val="2C35005E"/>
    <w:rsid w:val="2C3A38C6"/>
    <w:rsid w:val="2C3A6CBB"/>
    <w:rsid w:val="2C3B13EC"/>
    <w:rsid w:val="2C471B3F"/>
    <w:rsid w:val="2C482ACA"/>
    <w:rsid w:val="2C4B7ABE"/>
    <w:rsid w:val="2C4F6D4D"/>
    <w:rsid w:val="2C577362"/>
    <w:rsid w:val="2C583C14"/>
    <w:rsid w:val="2C5A45BF"/>
    <w:rsid w:val="2C5D1363"/>
    <w:rsid w:val="2C5F332D"/>
    <w:rsid w:val="2C602C01"/>
    <w:rsid w:val="2C602C8C"/>
    <w:rsid w:val="2C646B83"/>
    <w:rsid w:val="2C657875"/>
    <w:rsid w:val="2C6670A3"/>
    <w:rsid w:val="2C697929"/>
    <w:rsid w:val="2C6D2A05"/>
    <w:rsid w:val="2C6D54C1"/>
    <w:rsid w:val="2C732934"/>
    <w:rsid w:val="2C7371EE"/>
    <w:rsid w:val="2C780072"/>
    <w:rsid w:val="2C7908ED"/>
    <w:rsid w:val="2C7A23F5"/>
    <w:rsid w:val="2C7E27E4"/>
    <w:rsid w:val="2C816B02"/>
    <w:rsid w:val="2C834C2F"/>
    <w:rsid w:val="2C8B024D"/>
    <w:rsid w:val="2C8D7E9A"/>
    <w:rsid w:val="2C8F5AC1"/>
    <w:rsid w:val="2C956D4E"/>
    <w:rsid w:val="2C9A4365"/>
    <w:rsid w:val="2C9C1E8B"/>
    <w:rsid w:val="2CA64AB8"/>
    <w:rsid w:val="2CAA3372"/>
    <w:rsid w:val="2CAB0320"/>
    <w:rsid w:val="2CAD6271"/>
    <w:rsid w:val="2CAE09EE"/>
    <w:rsid w:val="2CBB41BA"/>
    <w:rsid w:val="2CBE44F7"/>
    <w:rsid w:val="2CBE469F"/>
    <w:rsid w:val="2CBE62A5"/>
    <w:rsid w:val="2CC17B44"/>
    <w:rsid w:val="2CC31B0E"/>
    <w:rsid w:val="2CC3566A"/>
    <w:rsid w:val="2CC55886"/>
    <w:rsid w:val="2CCA2E9C"/>
    <w:rsid w:val="2CCB09C2"/>
    <w:rsid w:val="2CCB6C14"/>
    <w:rsid w:val="2CCD0296"/>
    <w:rsid w:val="2CCD410F"/>
    <w:rsid w:val="2CCD442B"/>
    <w:rsid w:val="2CD47877"/>
    <w:rsid w:val="2CD52B8A"/>
    <w:rsid w:val="2CD52BB5"/>
    <w:rsid w:val="2CD94E8D"/>
    <w:rsid w:val="2CDA412E"/>
    <w:rsid w:val="2CDB4518"/>
    <w:rsid w:val="2CDC10E6"/>
    <w:rsid w:val="2CE101E6"/>
    <w:rsid w:val="2CE17B4E"/>
    <w:rsid w:val="2CE34483"/>
    <w:rsid w:val="2CE55D84"/>
    <w:rsid w:val="2CE7356C"/>
    <w:rsid w:val="2CF5678B"/>
    <w:rsid w:val="2CFB3366"/>
    <w:rsid w:val="2CFB44A5"/>
    <w:rsid w:val="2CFE66A2"/>
    <w:rsid w:val="2D0363AE"/>
    <w:rsid w:val="2D083397"/>
    <w:rsid w:val="2D0A3299"/>
    <w:rsid w:val="2D0B13C9"/>
    <w:rsid w:val="2D0B777F"/>
    <w:rsid w:val="2D1623D7"/>
    <w:rsid w:val="2D1705DB"/>
    <w:rsid w:val="2D181DB3"/>
    <w:rsid w:val="2D19172E"/>
    <w:rsid w:val="2D1E0AF2"/>
    <w:rsid w:val="2D1F28E4"/>
    <w:rsid w:val="2D1F486A"/>
    <w:rsid w:val="2D1F56E9"/>
    <w:rsid w:val="2D1F5FD2"/>
    <w:rsid w:val="2D224452"/>
    <w:rsid w:val="2D241E80"/>
    <w:rsid w:val="2D256AA8"/>
    <w:rsid w:val="2D2B1461"/>
    <w:rsid w:val="2D2D6F87"/>
    <w:rsid w:val="2D2F2D65"/>
    <w:rsid w:val="2D306690"/>
    <w:rsid w:val="2D32383D"/>
    <w:rsid w:val="2D3740E4"/>
    <w:rsid w:val="2D377E06"/>
    <w:rsid w:val="2D393B7E"/>
    <w:rsid w:val="2D4812AB"/>
    <w:rsid w:val="2D485B6F"/>
    <w:rsid w:val="2D4B38B1"/>
    <w:rsid w:val="2D4E6DFB"/>
    <w:rsid w:val="2D4F297B"/>
    <w:rsid w:val="2D560F94"/>
    <w:rsid w:val="2D575897"/>
    <w:rsid w:val="2D5A5D0C"/>
    <w:rsid w:val="2D5F03FB"/>
    <w:rsid w:val="2D60674B"/>
    <w:rsid w:val="2D6329A9"/>
    <w:rsid w:val="2D67693D"/>
    <w:rsid w:val="2D695F0F"/>
    <w:rsid w:val="2D7059CD"/>
    <w:rsid w:val="2D7352E2"/>
    <w:rsid w:val="2D7828F8"/>
    <w:rsid w:val="2D79041E"/>
    <w:rsid w:val="2D8172D3"/>
    <w:rsid w:val="2D8262FB"/>
    <w:rsid w:val="2D834148"/>
    <w:rsid w:val="2D8568D6"/>
    <w:rsid w:val="2D872B3B"/>
    <w:rsid w:val="2D8F3594"/>
    <w:rsid w:val="2D9027C4"/>
    <w:rsid w:val="2D940DB4"/>
    <w:rsid w:val="2D986AF6"/>
    <w:rsid w:val="2D9B2FD4"/>
    <w:rsid w:val="2DA65C71"/>
    <w:rsid w:val="2DAD7227"/>
    <w:rsid w:val="2DB21798"/>
    <w:rsid w:val="2DB256DE"/>
    <w:rsid w:val="2DB651CE"/>
    <w:rsid w:val="2DBD655D"/>
    <w:rsid w:val="2DBF599F"/>
    <w:rsid w:val="2DC518B5"/>
    <w:rsid w:val="2DC84F02"/>
    <w:rsid w:val="2DC93154"/>
    <w:rsid w:val="2DCA2A28"/>
    <w:rsid w:val="2DCA64B0"/>
    <w:rsid w:val="2DCB6D73"/>
    <w:rsid w:val="2DCF162E"/>
    <w:rsid w:val="2DD138B2"/>
    <w:rsid w:val="2DD6025F"/>
    <w:rsid w:val="2DD625B0"/>
    <w:rsid w:val="2DDC0A63"/>
    <w:rsid w:val="2DDD6BFF"/>
    <w:rsid w:val="2DE227C7"/>
    <w:rsid w:val="2DE47F8D"/>
    <w:rsid w:val="2DF31F7F"/>
    <w:rsid w:val="2DF3754D"/>
    <w:rsid w:val="2E020D8B"/>
    <w:rsid w:val="2E023DDA"/>
    <w:rsid w:val="2E072EE7"/>
    <w:rsid w:val="2E073C7C"/>
    <w:rsid w:val="2E085CEF"/>
    <w:rsid w:val="2E0871AE"/>
    <w:rsid w:val="2E0E0B66"/>
    <w:rsid w:val="2E145874"/>
    <w:rsid w:val="2E150147"/>
    <w:rsid w:val="2E1A575D"/>
    <w:rsid w:val="2E1B7727"/>
    <w:rsid w:val="2E2465DC"/>
    <w:rsid w:val="2E267CD1"/>
    <w:rsid w:val="2E2959A0"/>
    <w:rsid w:val="2E352597"/>
    <w:rsid w:val="2E382087"/>
    <w:rsid w:val="2E3A7BAD"/>
    <w:rsid w:val="2E3D0E9F"/>
    <w:rsid w:val="2E3F7993"/>
    <w:rsid w:val="2E41718E"/>
    <w:rsid w:val="2E4463D2"/>
    <w:rsid w:val="2E450300"/>
    <w:rsid w:val="2E4A5917"/>
    <w:rsid w:val="2E4C6E74"/>
    <w:rsid w:val="2E50117F"/>
    <w:rsid w:val="2E501D78"/>
    <w:rsid w:val="2E5305CF"/>
    <w:rsid w:val="2E530C6F"/>
    <w:rsid w:val="2E5844D8"/>
    <w:rsid w:val="2E5B4C9B"/>
    <w:rsid w:val="2E5D1AEE"/>
    <w:rsid w:val="2E6214E6"/>
    <w:rsid w:val="2E645979"/>
    <w:rsid w:val="2E6469D8"/>
    <w:rsid w:val="2E6672E0"/>
    <w:rsid w:val="2E67296D"/>
    <w:rsid w:val="2E681913"/>
    <w:rsid w:val="2E6C65AC"/>
    <w:rsid w:val="2E6F38E5"/>
    <w:rsid w:val="2E6F5877"/>
    <w:rsid w:val="2E727293"/>
    <w:rsid w:val="2E7813DF"/>
    <w:rsid w:val="2E7C01C6"/>
    <w:rsid w:val="2E7D577C"/>
    <w:rsid w:val="2E813A2E"/>
    <w:rsid w:val="2E8157DC"/>
    <w:rsid w:val="2E81758A"/>
    <w:rsid w:val="2E821554"/>
    <w:rsid w:val="2E8452CD"/>
    <w:rsid w:val="2E861045"/>
    <w:rsid w:val="2E8B665B"/>
    <w:rsid w:val="2E8C55BF"/>
    <w:rsid w:val="2E953036"/>
    <w:rsid w:val="2E9738A5"/>
    <w:rsid w:val="2E975000"/>
    <w:rsid w:val="2E9A328C"/>
    <w:rsid w:val="2E9C43C4"/>
    <w:rsid w:val="2E9C67AB"/>
    <w:rsid w:val="2E9F3EB4"/>
    <w:rsid w:val="2E9F5C62"/>
    <w:rsid w:val="2EA045BB"/>
    <w:rsid w:val="2EA40C71"/>
    <w:rsid w:val="2EA72D69"/>
    <w:rsid w:val="2EA91D49"/>
    <w:rsid w:val="2EA96AE1"/>
    <w:rsid w:val="2EAB4607"/>
    <w:rsid w:val="2EB067BE"/>
    <w:rsid w:val="2EB07E70"/>
    <w:rsid w:val="2EB65D31"/>
    <w:rsid w:val="2EB76B7E"/>
    <w:rsid w:val="2EBD0411"/>
    <w:rsid w:val="2EBE469D"/>
    <w:rsid w:val="2EBF00B3"/>
    <w:rsid w:val="2EBF6DB8"/>
    <w:rsid w:val="2EC15BD9"/>
    <w:rsid w:val="2EC35DF5"/>
    <w:rsid w:val="2EC41413"/>
    <w:rsid w:val="2EC8285E"/>
    <w:rsid w:val="2EC8340B"/>
    <w:rsid w:val="2ECD6C74"/>
    <w:rsid w:val="2ECE479A"/>
    <w:rsid w:val="2ED0406E"/>
    <w:rsid w:val="2ED447CE"/>
    <w:rsid w:val="2ED844E9"/>
    <w:rsid w:val="2ED935F8"/>
    <w:rsid w:val="2EDB135F"/>
    <w:rsid w:val="2EE5675B"/>
    <w:rsid w:val="2EE819CA"/>
    <w:rsid w:val="2EEC66F5"/>
    <w:rsid w:val="2EED10C4"/>
    <w:rsid w:val="2EEF42F7"/>
    <w:rsid w:val="2EF22236"/>
    <w:rsid w:val="2F000DF7"/>
    <w:rsid w:val="2F011BBF"/>
    <w:rsid w:val="2F016E3D"/>
    <w:rsid w:val="2F057BBB"/>
    <w:rsid w:val="2F1131A7"/>
    <w:rsid w:val="2F1357FC"/>
    <w:rsid w:val="2F183292"/>
    <w:rsid w:val="2F1B60C1"/>
    <w:rsid w:val="2F266384"/>
    <w:rsid w:val="2F2820FC"/>
    <w:rsid w:val="2F2C0CD3"/>
    <w:rsid w:val="2F313793"/>
    <w:rsid w:val="2F3168CA"/>
    <w:rsid w:val="2F320885"/>
    <w:rsid w:val="2F3558AE"/>
    <w:rsid w:val="2F3565C7"/>
    <w:rsid w:val="2F3647DE"/>
    <w:rsid w:val="2F3650DA"/>
    <w:rsid w:val="2F3740ED"/>
    <w:rsid w:val="2F3E191F"/>
    <w:rsid w:val="2F5143AB"/>
    <w:rsid w:val="2F520F27"/>
    <w:rsid w:val="2F527179"/>
    <w:rsid w:val="2F5527C5"/>
    <w:rsid w:val="2F5E167A"/>
    <w:rsid w:val="2F6340F7"/>
    <w:rsid w:val="2F652FF8"/>
    <w:rsid w:val="2F656EAC"/>
    <w:rsid w:val="2F662C47"/>
    <w:rsid w:val="2F6901E4"/>
    <w:rsid w:val="2F6A28CE"/>
    <w:rsid w:val="2F6B1FE9"/>
    <w:rsid w:val="2F6F3887"/>
    <w:rsid w:val="2F7B222C"/>
    <w:rsid w:val="2F8310E0"/>
    <w:rsid w:val="2F8373AF"/>
    <w:rsid w:val="2F880DEC"/>
    <w:rsid w:val="2F8A1EF6"/>
    <w:rsid w:val="2F8B3BE5"/>
    <w:rsid w:val="2F8B61E7"/>
    <w:rsid w:val="2F8D1F5F"/>
    <w:rsid w:val="2F8D562E"/>
    <w:rsid w:val="2F8D7364"/>
    <w:rsid w:val="2F8F0904"/>
    <w:rsid w:val="2F9037FD"/>
    <w:rsid w:val="2F9068A1"/>
    <w:rsid w:val="2F906E32"/>
    <w:rsid w:val="2F951A24"/>
    <w:rsid w:val="2F972DDE"/>
    <w:rsid w:val="2F994DA8"/>
    <w:rsid w:val="2F9C5D3B"/>
    <w:rsid w:val="2F9F0268"/>
    <w:rsid w:val="2FA07EE4"/>
    <w:rsid w:val="2FA554FB"/>
    <w:rsid w:val="2FA749B0"/>
    <w:rsid w:val="2FAA2B11"/>
    <w:rsid w:val="2FAB640A"/>
    <w:rsid w:val="2FAD7DC0"/>
    <w:rsid w:val="2FB41BE1"/>
    <w:rsid w:val="2FB67708"/>
    <w:rsid w:val="2FB84FCA"/>
    <w:rsid w:val="2FB91BFD"/>
    <w:rsid w:val="2FC53C32"/>
    <w:rsid w:val="2FC71915"/>
    <w:rsid w:val="2FCF2577"/>
    <w:rsid w:val="2FD363EE"/>
    <w:rsid w:val="2FD61B58"/>
    <w:rsid w:val="2FDC4969"/>
    <w:rsid w:val="2FE12C6D"/>
    <w:rsid w:val="2FE244AB"/>
    <w:rsid w:val="2FE35562"/>
    <w:rsid w:val="2FE40EB6"/>
    <w:rsid w:val="2FED6237"/>
    <w:rsid w:val="2FF303BE"/>
    <w:rsid w:val="2FF824A0"/>
    <w:rsid w:val="2FF91E1A"/>
    <w:rsid w:val="2FF95846"/>
    <w:rsid w:val="2FFF3BEB"/>
    <w:rsid w:val="300527EC"/>
    <w:rsid w:val="30064639"/>
    <w:rsid w:val="30077F63"/>
    <w:rsid w:val="300B7175"/>
    <w:rsid w:val="300B7231"/>
    <w:rsid w:val="300C09D1"/>
    <w:rsid w:val="300F0BC6"/>
    <w:rsid w:val="30137621"/>
    <w:rsid w:val="301461DC"/>
    <w:rsid w:val="30186D9C"/>
    <w:rsid w:val="301911DB"/>
    <w:rsid w:val="301A027B"/>
    <w:rsid w:val="301E50B9"/>
    <w:rsid w:val="301F409E"/>
    <w:rsid w:val="301F7290"/>
    <w:rsid w:val="30204B81"/>
    <w:rsid w:val="302265C5"/>
    <w:rsid w:val="30247D84"/>
    <w:rsid w:val="3025032E"/>
    <w:rsid w:val="302B73D2"/>
    <w:rsid w:val="30314FE0"/>
    <w:rsid w:val="303947F3"/>
    <w:rsid w:val="303C4ABA"/>
    <w:rsid w:val="30427786"/>
    <w:rsid w:val="30457932"/>
    <w:rsid w:val="304732AA"/>
    <w:rsid w:val="3049232A"/>
    <w:rsid w:val="304F6824"/>
    <w:rsid w:val="30500FA7"/>
    <w:rsid w:val="30515ECF"/>
    <w:rsid w:val="3052767E"/>
    <w:rsid w:val="30591594"/>
    <w:rsid w:val="305E4394"/>
    <w:rsid w:val="30607673"/>
    <w:rsid w:val="30644BB4"/>
    <w:rsid w:val="30645D0A"/>
    <w:rsid w:val="30656A38"/>
    <w:rsid w:val="30662EDC"/>
    <w:rsid w:val="306755CD"/>
    <w:rsid w:val="306C7DC6"/>
    <w:rsid w:val="306F513D"/>
    <w:rsid w:val="30737D00"/>
    <w:rsid w:val="30741671"/>
    <w:rsid w:val="30787C75"/>
    <w:rsid w:val="307928B7"/>
    <w:rsid w:val="308006DA"/>
    <w:rsid w:val="308108DC"/>
    <w:rsid w:val="30862004"/>
    <w:rsid w:val="30874C00"/>
    <w:rsid w:val="30894E1C"/>
    <w:rsid w:val="308A649E"/>
    <w:rsid w:val="30932DBE"/>
    <w:rsid w:val="3094269F"/>
    <w:rsid w:val="309537C1"/>
    <w:rsid w:val="30983B9C"/>
    <w:rsid w:val="309A2B85"/>
    <w:rsid w:val="309D4424"/>
    <w:rsid w:val="309F019C"/>
    <w:rsid w:val="30A12361"/>
    <w:rsid w:val="30A12A91"/>
    <w:rsid w:val="30A25EDE"/>
    <w:rsid w:val="30A27C8C"/>
    <w:rsid w:val="30A752A2"/>
    <w:rsid w:val="30AB46CC"/>
    <w:rsid w:val="30AD6A75"/>
    <w:rsid w:val="30AD7887"/>
    <w:rsid w:val="30B04157"/>
    <w:rsid w:val="30B05F05"/>
    <w:rsid w:val="30B23183"/>
    <w:rsid w:val="30B60B19"/>
    <w:rsid w:val="30B654E5"/>
    <w:rsid w:val="30B8125D"/>
    <w:rsid w:val="30BE50BD"/>
    <w:rsid w:val="30BF099F"/>
    <w:rsid w:val="30BF25EC"/>
    <w:rsid w:val="30C2116B"/>
    <w:rsid w:val="30C47C02"/>
    <w:rsid w:val="30C50314"/>
    <w:rsid w:val="30CD1A33"/>
    <w:rsid w:val="30D00355"/>
    <w:rsid w:val="30D51E0F"/>
    <w:rsid w:val="30D616E4"/>
    <w:rsid w:val="30D82600"/>
    <w:rsid w:val="30E3277E"/>
    <w:rsid w:val="30E67B79"/>
    <w:rsid w:val="30E9624E"/>
    <w:rsid w:val="30EB518F"/>
    <w:rsid w:val="30EC78E3"/>
    <w:rsid w:val="30ED265D"/>
    <w:rsid w:val="30F427E5"/>
    <w:rsid w:val="30F46397"/>
    <w:rsid w:val="30F6275B"/>
    <w:rsid w:val="30F75AE9"/>
    <w:rsid w:val="30F878AC"/>
    <w:rsid w:val="30FE1366"/>
    <w:rsid w:val="30FF50DE"/>
    <w:rsid w:val="31032087"/>
    <w:rsid w:val="31066125"/>
    <w:rsid w:val="31181417"/>
    <w:rsid w:val="31187218"/>
    <w:rsid w:val="311A4B61"/>
    <w:rsid w:val="311A6C35"/>
    <w:rsid w:val="311D7312"/>
    <w:rsid w:val="31233144"/>
    <w:rsid w:val="31284001"/>
    <w:rsid w:val="312D2DEB"/>
    <w:rsid w:val="312E1520"/>
    <w:rsid w:val="312F0DDF"/>
    <w:rsid w:val="31301335"/>
    <w:rsid w:val="31327262"/>
    <w:rsid w:val="313703D4"/>
    <w:rsid w:val="313B49D1"/>
    <w:rsid w:val="313C1E8F"/>
    <w:rsid w:val="313C53F5"/>
    <w:rsid w:val="313E4DC4"/>
    <w:rsid w:val="3140197F"/>
    <w:rsid w:val="31424684"/>
    <w:rsid w:val="31427480"/>
    <w:rsid w:val="31434FCB"/>
    <w:rsid w:val="31455DA0"/>
    <w:rsid w:val="314B0961"/>
    <w:rsid w:val="31565CBA"/>
    <w:rsid w:val="31576CC8"/>
    <w:rsid w:val="315A40C3"/>
    <w:rsid w:val="315B7BD0"/>
    <w:rsid w:val="315C7E3B"/>
    <w:rsid w:val="315F16D9"/>
    <w:rsid w:val="316078DC"/>
    <w:rsid w:val="3163741B"/>
    <w:rsid w:val="31647A1E"/>
    <w:rsid w:val="316D3DF6"/>
    <w:rsid w:val="316E0418"/>
    <w:rsid w:val="316E7B6E"/>
    <w:rsid w:val="31705B9F"/>
    <w:rsid w:val="317268B8"/>
    <w:rsid w:val="317A531F"/>
    <w:rsid w:val="317B29B7"/>
    <w:rsid w:val="317D0D3C"/>
    <w:rsid w:val="317D2742"/>
    <w:rsid w:val="317E15EE"/>
    <w:rsid w:val="317F3B29"/>
    <w:rsid w:val="318220A9"/>
    <w:rsid w:val="31867EFF"/>
    <w:rsid w:val="318E00B9"/>
    <w:rsid w:val="318F1FBE"/>
    <w:rsid w:val="31941B27"/>
    <w:rsid w:val="3195334D"/>
    <w:rsid w:val="31991D69"/>
    <w:rsid w:val="31992E3D"/>
    <w:rsid w:val="319B054E"/>
    <w:rsid w:val="319B4E07"/>
    <w:rsid w:val="319F5F79"/>
    <w:rsid w:val="31A00C66"/>
    <w:rsid w:val="31A041CB"/>
    <w:rsid w:val="31A8091D"/>
    <w:rsid w:val="31A87524"/>
    <w:rsid w:val="31A95C84"/>
    <w:rsid w:val="31AA6DF8"/>
    <w:rsid w:val="31B148E3"/>
    <w:rsid w:val="31B20818"/>
    <w:rsid w:val="31B732C3"/>
    <w:rsid w:val="31B859B9"/>
    <w:rsid w:val="31C76E5C"/>
    <w:rsid w:val="31C871EA"/>
    <w:rsid w:val="31CA3138"/>
    <w:rsid w:val="31CA749A"/>
    <w:rsid w:val="31CD1BEC"/>
    <w:rsid w:val="31CF09A4"/>
    <w:rsid w:val="31CF4AB1"/>
    <w:rsid w:val="31D06CA4"/>
    <w:rsid w:val="31D40319"/>
    <w:rsid w:val="31D41FD5"/>
    <w:rsid w:val="31D420C7"/>
    <w:rsid w:val="31D4625C"/>
    <w:rsid w:val="31D9265F"/>
    <w:rsid w:val="31DB3455"/>
    <w:rsid w:val="31DD3BB1"/>
    <w:rsid w:val="31E04EAA"/>
    <w:rsid w:val="31E10C80"/>
    <w:rsid w:val="31E221E0"/>
    <w:rsid w:val="31E367AE"/>
    <w:rsid w:val="31E57E30"/>
    <w:rsid w:val="31E63BA8"/>
    <w:rsid w:val="31E71DFA"/>
    <w:rsid w:val="31E8596B"/>
    <w:rsid w:val="31EC43A6"/>
    <w:rsid w:val="31EF5153"/>
    <w:rsid w:val="31F022BE"/>
    <w:rsid w:val="31F5698E"/>
    <w:rsid w:val="31F732BF"/>
    <w:rsid w:val="31F745EA"/>
    <w:rsid w:val="31F80CAC"/>
    <w:rsid w:val="31FB7654"/>
    <w:rsid w:val="31FD4DCC"/>
    <w:rsid w:val="31FD5849"/>
    <w:rsid w:val="32004C6A"/>
    <w:rsid w:val="32005DB7"/>
    <w:rsid w:val="32037D83"/>
    <w:rsid w:val="32081D71"/>
    <w:rsid w:val="32087FC3"/>
    <w:rsid w:val="320D55D9"/>
    <w:rsid w:val="320D7C40"/>
    <w:rsid w:val="320D7E0E"/>
    <w:rsid w:val="3212499D"/>
    <w:rsid w:val="32171F7A"/>
    <w:rsid w:val="32197AF2"/>
    <w:rsid w:val="321B4FE3"/>
    <w:rsid w:val="321E3342"/>
    <w:rsid w:val="32230EC4"/>
    <w:rsid w:val="32251AAB"/>
    <w:rsid w:val="3229159A"/>
    <w:rsid w:val="32292413"/>
    <w:rsid w:val="322C2474"/>
    <w:rsid w:val="322C67E7"/>
    <w:rsid w:val="32354DBA"/>
    <w:rsid w:val="323A22B3"/>
    <w:rsid w:val="323A4620"/>
    <w:rsid w:val="323D693E"/>
    <w:rsid w:val="323F73DF"/>
    <w:rsid w:val="324669FB"/>
    <w:rsid w:val="32494863"/>
    <w:rsid w:val="32496611"/>
    <w:rsid w:val="324B46DD"/>
    <w:rsid w:val="324C4353"/>
    <w:rsid w:val="324E1E79"/>
    <w:rsid w:val="324E3C27"/>
    <w:rsid w:val="324F335F"/>
    <w:rsid w:val="32505363"/>
    <w:rsid w:val="32526703"/>
    <w:rsid w:val="32582A90"/>
    <w:rsid w:val="325D4EF0"/>
    <w:rsid w:val="326048F7"/>
    <w:rsid w:val="32650F71"/>
    <w:rsid w:val="32662F91"/>
    <w:rsid w:val="32673C7A"/>
    <w:rsid w:val="326B7D0F"/>
    <w:rsid w:val="32702225"/>
    <w:rsid w:val="32713DBA"/>
    <w:rsid w:val="32764F2C"/>
    <w:rsid w:val="32774691"/>
    <w:rsid w:val="327A0EC0"/>
    <w:rsid w:val="32812D01"/>
    <w:rsid w:val="32877D0B"/>
    <w:rsid w:val="32891103"/>
    <w:rsid w:val="328E5537"/>
    <w:rsid w:val="328E66F6"/>
    <w:rsid w:val="3291620A"/>
    <w:rsid w:val="32934090"/>
    <w:rsid w:val="32943492"/>
    <w:rsid w:val="32963820"/>
    <w:rsid w:val="329944E6"/>
    <w:rsid w:val="329A50BF"/>
    <w:rsid w:val="329D070B"/>
    <w:rsid w:val="329D695D"/>
    <w:rsid w:val="329F4483"/>
    <w:rsid w:val="32A0200E"/>
    <w:rsid w:val="32A519E9"/>
    <w:rsid w:val="32A520FC"/>
    <w:rsid w:val="32A56E3D"/>
    <w:rsid w:val="32A93554"/>
    <w:rsid w:val="32AA2E28"/>
    <w:rsid w:val="32AE1B2D"/>
    <w:rsid w:val="32B0189E"/>
    <w:rsid w:val="32B53CA7"/>
    <w:rsid w:val="32B735E8"/>
    <w:rsid w:val="32BA750F"/>
    <w:rsid w:val="32BF0681"/>
    <w:rsid w:val="32C73B5F"/>
    <w:rsid w:val="32C959A4"/>
    <w:rsid w:val="32CB171C"/>
    <w:rsid w:val="32CC2D9E"/>
    <w:rsid w:val="32CE4D68"/>
    <w:rsid w:val="32D00AE0"/>
    <w:rsid w:val="32D113CF"/>
    <w:rsid w:val="32D37B74"/>
    <w:rsid w:val="32D743D7"/>
    <w:rsid w:val="32D774A8"/>
    <w:rsid w:val="32D85BE7"/>
    <w:rsid w:val="32D87995"/>
    <w:rsid w:val="32D9509E"/>
    <w:rsid w:val="32D960CC"/>
    <w:rsid w:val="32E71374"/>
    <w:rsid w:val="32EC4D02"/>
    <w:rsid w:val="32F10A57"/>
    <w:rsid w:val="32F42D71"/>
    <w:rsid w:val="32F45D69"/>
    <w:rsid w:val="32F56799"/>
    <w:rsid w:val="33010C9A"/>
    <w:rsid w:val="3305328E"/>
    <w:rsid w:val="33072028"/>
    <w:rsid w:val="33092744"/>
    <w:rsid w:val="330B41FF"/>
    <w:rsid w:val="330C7B44"/>
    <w:rsid w:val="330E189D"/>
    <w:rsid w:val="330F07D0"/>
    <w:rsid w:val="33152997"/>
    <w:rsid w:val="331652F7"/>
    <w:rsid w:val="331865C6"/>
    <w:rsid w:val="331C24AB"/>
    <w:rsid w:val="331D28ED"/>
    <w:rsid w:val="33224DA6"/>
    <w:rsid w:val="33232CDB"/>
    <w:rsid w:val="33264BA4"/>
    <w:rsid w:val="332A253B"/>
    <w:rsid w:val="332D15B2"/>
    <w:rsid w:val="332E0ECC"/>
    <w:rsid w:val="3330481B"/>
    <w:rsid w:val="33340965"/>
    <w:rsid w:val="333463D3"/>
    <w:rsid w:val="33356B95"/>
    <w:rsid w:val="333746BC"/>
    <w:rsid w:val="333B3206"/>
    <w:rsid w:val="33411290"/>
    <w:rsid w:val="33411378"/>
    <w:rsid w:val="33435756"/>
    <w:rsid w:val="3344327C"/>
    <w:rsid w:val="334A0C8C"/>
    <w:rsid w:val="3350577D"/>
    <w:rsid w:val="33527747"/>
    <w:rsid w:val="33542619"/>
    <w:rsid w:val="33576B0C"/>
    <w:rsid w:val="33596D28"/>
    <w:rsid w:val="335C05C6"/>
    <w:rsid w:val="335C2374"/>
    <w:rsid w:val="335E5947"/>
    <w:rsid w:val="33625438"/>
    <w:rsid w:val="33631BFD"/>
    <w:rsid w:val="33661445"/>
    <w:rsid w:val="336631F3"/>
    <w:rsid w:val="33686F6B"/>
    <w:rsid w:val="336968FF"/>
    <w:rsid w:val="336D27D3"/>
    <w:rsid w:val="337249A0"/>
    <w:rsid w:val="337A6650"/>
    <w:rsid w:val="337D3A65"/>
    <w:rsid w:val="33835B53"/>
    <w:rsid w:val="33853F35"/>
    <w:rsid w:val="33923FE8"/>
    <w:rsid w:val="33941320"/>
    <w:rsid w:val="339564A9"/>
    <w:rsid w:val="3396296F"/>
    <w:rsid w:val="33A10F67"/>
    <w:rsid w:val="33A1422B"/>
    <w:rsid w:val="33A43569"/>
    <w:rsid w:val="33A53D1B"/>
    <w:rsid w:val="33AA7583"/>
    <w:rsid w:val="33AC25F0"/>
    <w:rsid w:val="33AC2C34"/>
    <w:rsid w:val="33AE5C63"/>
    <w:rsid w:val="33AF49EF"/>
    <w:rsid w:val="33B03C72"/>
    <w:rsid w:val="33B57E4C"/>
    <w:rsid w:val="33B73DAF"/>
    <w:rsid w:val="33BA0F5C"/>
    <w:rsid w:val="33BA52ED"/>
    <w:rsid w:val="33BB2A44"/>
    <w:rsid w:val="33C07E4B"/>
    <w:rsid w:val="33C1667B"/>
    <w:rsid w:val="33CA72B8"/>
    <w:rsid w:val="33CB12A8"/>
    <w:rsid w:val="33CB74FA"/>
    <w:rsid w:val="33CC6521"/>
    <w:rsid w:val="33CD3146"/>
    <w:rsid w:val="33CF43A2"/>
    <w:rsid w:val="33DB78E6"/>
    <w:rsid w:val="33DE035B"/>
    <w:rsid w:val="33DE0FDB"/>
    <w:rsid w:val="33E23FA5"/>
    <w:rsid w:val="33E65B1A"/>
    <w:rsid w:val="33EB36F8"/>
    <w:rsid w:val="33ED7470"/>
    <w:rsid w:val="33F24A86"/>
    <w:rsid w:val="34000F51"/>
    <w:rsid w:val="34021368"/>
    <w:rsid w:val="340353F4"/>
    <w:rsid w:val="34056568"/>
    <w:rsid w:val="34076784"/>
    <w:rsid w:val="340A1869"/>
    <w:rsid w:val="340B0788"/>
    <w:rsid w:val="340D7B12"/>
    <w:rsid w:val="34101E69"/>
    <w:rsid w:val="34126ED7"/>
    <w:rsid w:val="3412759C"/>
    <w:rsid w:val="34137ABE"/>
    <w:rsid w:val="34167612"/>
    <w:rsid w:val="341B5F16"/>
    <w:rsid w:val="341C3CFE"/>
    <w:rsid w:val="341C58CD"/>
    <w:rsid w:val="34261578"/>
    <w:rsid w:val="342804A8"/>
    <w:rsid w:val="342840E0"/>
    <w:rsid w:val="342A2472"/>
    <w:rsid w:val="342C0062"/>
    <w:rsid w:val="342C5338"/>
    <w:rsid w:val="3434509F"/>
    <w:rsid w:val="3435049D"/>
    <w:rsid w:val="34362BC5"/>
    <w:rsid w:val="34384B8F"/>
    <w:rsid w:val="343B5478"/>
    <w:rsid w:val="343C6393"/>
    <w:rsid w:val="344165C4"/>
    <w:rsid w:val="34420E37"/>
    <w:rsid w:val="344277BC"/>
    <w:rsid w:val="34445F26"/>
    <w:rsid w:val="344D0D79"/>
    <w:rsid w:val="34515C51"/>
    <w:rsid w:val="3454129D"/>
    <w:rsid w:val="34570B55"/>
    <w:rsid w:val="34585C26"/>
    <w:rsid w:val="345D6E68"/>
    <w:rsid w:val="345E3ECA"/>
    <w:rsid w:val="3463039F"/>
    <w:rsid w:val="346533F2"/>
    <w:rsid w:val="346670F7"/>
    <w:rsid w:val="34676609"/>
    <w:rsid w:val="34683021"/>
    <w:rsid w:val="34684D49"/>
    <w:rsid w:val="346B6A8A"/>
    <w:rsid w:val="346C7D61"/>
    <w:rsid w:val="346D235F"/>
    <w:rsid w:val="346D2A0F"/>
    <w:rsid w:val="346D2C50"/>
    <w:rsid w:val="347436ED"/>
    <w:rsid w:val="347656B7"/>
    <w:rsid w:val="34772F52"/>
    <w:rsid w:val="34775C7A"/>
    <w:rsid w:val="34777F6D"/>
    <w:rsid w:val="347C3F14"/>
    <w:rsid w:val="347D6A46"/>
    <w:rsid w:val="34802092"/>
    <w:rsid w:val="348222AE"/>
    <w:rsid w:val="34873D9B"/>
    <w:rsid w:val="34874EF3"/>
    <w:rsid w:val="34875080"/>
    <w:rsid w:val="348B1398"/>
    <w:rsid w:val="348E7143"/>
    <w:rsid w:val="34910520"/>
    <w:rsid w:val="3492696B"/>
    <w:rsid w:val="34934894"/>
    <w:rsid w:val="34945B3E"/>
    <w:rsid w:val="34993154"/>
    <w:rsid w:val="349A13A6"/>
    <w:rsid w:val="349A7944"/>
    <w:rsid w:val="349B3370"/>
    <w:rsid w:val="349B6ECC"/>
    <w:rsid w:val="34A22009"/>
    <w:rsid w:val="34A357B5"/>
    <w:rsid w:val="34A479E8"/>
    <w:rsid w:val="34A77DA7"/>
    <w:rsid w:val="34B166F0"/>
    <w:rsid w:val="34B311A6"/>
    <w:rsid w:val="34B47F8E"/>
    <w:rsid w:val="34B63FF9"/>
    <w:rsid w:val="34B97D14"/>
    <w:rsid w:val="34BB6E1E"/>
    <w:rsid w:val="34BD6E42"/>
    <w:rsid w:val="34C12DD7"/>
    <w:rsid w:val="34C46423"/>
    <w:rsid w:val="34C71A6F"/>
    <w:rsid w:val="34C91C8B"/>
    <w:rsid w:val="34D0301A"/>
    <w:rsid w:val="34D128EE"/>
    <w:rsid w:val="34D5735F"/>
    <w:rsid w:val="34D81142"/>
    <w:rsid w:val="34DD175C"/>
    <w:rsid w:val="34E24AFB"/>
    <w:rsid w:val="34E50CCC"/>
    <w:rsid w:val="34E56399"/>
    <w:rsid w:val="34E614B9"/>
    <w:rsid w:val="34EB4506"/>
    <w:rsid w:val="34EC39BB"/>
    <w:rsid w:val="34EE2567"/>
    <w:rsid w:val="34F153AD"/>
    <w:rsid w:val="34F211E2"/>
    <w:rsid w:val="34F222B8"/>
    <w:rsid w:val="34F34F5A"/>
    <w:rsid w:val="34F36D08"/>
    <w:rsid w:val="34FA0097"/>
    <w:rsid w:val="34FC0EDA"/>
    <w:rsid w:val="34FD2CC6"/>
    <w:rsid w:val="35000CEA"/>
    <w:rsid w:val="35011425"/>
    <w:rsid w:val="3502479A"/>
    <w:rsid w:val="35025CBF"/>
    <w:rsid w:val="35030C9C"/>
    <w:rsid w:val="350C7DCA"/>
    <w:rsid w:val="3510196C"/>
    <w:rsid w:val="35104B3E"/>
    <w:rsid w:val="35167049"/>
    <w:rsid w:val="351A39FE"/>
    <w:rsid w:val="351B0B66"/>
    <w:rsid w:val="35234C75"/>
    <w:rsid w:val="3529272A"/>
    <w:rsid w:val="352A38F1"/>
    <w:rsid w:val="352B0250"/>
    <w:rsid w:val="352B46F4"/>
    <w:rsid w:val="35386ED5"/>
    <w:rsid w:val="353C0DC5"/>
    <w:rsid w:val="353C5735"/>
    <w:rsid w:val="35401C2F"/>
    <w:rsid w:val="35415CC5"/>
    <w:rsid w:val="3542673E"/>
    <w:rsid w:val="354632DC"/>
    <w:rsid w:val="3546508A"/>
    <w:rsid w:val="3548749A"/>
    <w:rsid w:val="354953BE"/>
    <w:rsid w:val="35503444"/>
    <w:rsid w:val="355057B5"/>
    <w:rsid w:val="35505A72"/>
    <w:rsid w:val="355C251B"/>
    <w:rsid w:val="355C665B"/>
    <w:rsid w:val="355D18A7"/>
    <w:rsid w:val="355E273D"/>
    <w:rsid w:val="355E6877"/>
    <w:rsid w:val="355F5136"/>
    <w:rsid w:val="35643762"/>
    <w:rsid w:val="35675000"/>
    <w:rsid w:val="35694DC8"/>
    <w:rsid w:val="356B4AF0"/>
    <w:rsid w:val="356C3F71"/>
    <w:rsid w:val="356D0868"/>
    <w:rsid w:val="35700359"/>
    <w:rsid w:val="35734AC9"/>
    <w:rsid w:val="35753BC1"/>
    <w:rsid w:val="35770328"/>
    <w:rsid w:val="35773495"/>
    <w:rsid w:val="3578720D"/>
    <w:rsid w:val="357A11D7"/>
    <w:rsid w:val="357C4F4F"/>
    <w:rsid w:val="357F1063"/>
    <w:rsid w:val="35816960"/>
    <w:rsid w:val="35833A51"/>
    <w:rsid w:val="3586192A"/>
    <w:rsid w:val="35867B2D"/>
    <w:rsid w:val="35870802"/>
    <w:rsid w:val="35876C7B"/>
    <w:rsid w:val="35894ABA"/>
    <w:rsid w:val="358A5F97"/>
    <w:rsid w:val="358B6243"/>
    <w:rsid w:val="358D2CB9"/>
    <w:rsid w:val="359027A9"/>
    <w:rsid w:val="35904557"/>
    <w:rsid w:val="35941C8B"/>
    <w:rsid w:val="35973B37"/>
    <w:rsid w:val="359777F0"/>
    <w:rsid w:val="359A3628"/>
    <w:rsid w:val="359A6C78"/>
    <w:rsid w:val="359C2EFC"/>
    <w:rsid w:val="35A3428A"/>
    <w:rsid w:val="35AA4B65"/>
    <w:rsid w:val="35B00755"/>
    <w:rsid w:val="35B03355"/>
    <w:rsid w:val="35B144E6"/>
    <w:rsid w:val="35B27654"/>
    <w:rsid w:val="35B30181"/>
    <w:rsid w:val="35B71AE4"/>
    <w:rsid w:val="35B75F88"/>
    <w:rsid w:val="35BC534C"/>
    <w:rsid w:val="35BD3B86"/>
    <w:rsid w:val="35BF4E3C"/>
    <w:rsid w:val="35C51723"/>
    <w:rsid w:val="35CC08B9"/>
    <w:rsid w:val="35CD0E9C"/>
    <w:rsid w:val="35CF5631"/>
    <w:rsid w:val="35D501BC"/>
    <w:rsid w:val="35D656DF"/>
    <w:rsid w:val="35D97CAC"/>
    <w:rsid w:val="35E11256"/>
    <w:rsid w:val="35EB19AF"/>
    <w:rsid w:val="35EE60D4"/>
    <w:rsid w:val="35F22801"/>
    <w:rsid w:val="35F26E84"/>
    <w:rsid w:val="35F5260C"/>
    <w:rsid w:val="35F9034E"/>
    <w:rsid w:val="36050AA1"/>
    <w:rsid w:val="360B4516"/>
    <w:rsid w:val="360C16FF"/>
    <w:rsid w:val="360C24AB"/>
    <w:rsid w:val="360D2B08"/>
    <w:rsid w:val="360D6CE9"/>
    <w:rsid w:val="36100A32"/>
    <w:rsid w:val="3613194E"/>
    <w:rsid w:val="36150687"/>
    <w:rsid w:val="361909F0"/>
    <w:rsid w:val="3619674F"/>
    <w:rsid w:val="361C403D"/>
    <w:rsid w:val="362178A5"/>
    <w:rsid w:val="3628009B"/>
    <w:rsid w:val="36280D82"/>
    <w:rsid w:val="36286FF1"/>
    <w:rsid w:val="362D7FF8"/>
    <w:rsid w:val="362E1A2D"/>
    <w:rsid w:val="3630291D"/>
    <w:rsid w:val="3632603A"/>
    <w:rsid w:val="363C53ED"/>
    <w:rsid w:val="36462E68"/>
    <w:rsid w:val="3647730B"/>
    <w:rsid w:val="3649110C"/>
    <w:rsid w:val="364A6DFC"/>
    <w:rsid w:val="364D1A9A"/>
    <w:rsid w:val="364D2448"/>
    <w:rsid w:val="36512993"/>
    <w:rsid w:val="36512FD4"/>
    <w:rsid w:val="365313AC"/>
    <w:rsid w:val="36552860"/>
    <w:rsid w:val="36581519"/>
    <w:rsid w:val="36590DED"/>
    <w:rsid w:val="365A27F2"/>
    <w:rsid w:val="365B3FBE"/>
    <w:rsid w:val="365C268B"/>
    <w:rsid w:val="365E4655"/>
    <w:rsid w:val="36625DA3"/>
    <w:rsid w:val="3663367F"/>
    <w:rsid w:val="3667350A"/>
    <w:rsid w:val="36681034"/>
    <w:rsid w:val="36694181"/>
    <w:rsid w:val="366C6D72"/>
    <w:rsid w:val="366F23BE"/>
    <w:rsid w:val="366F3B39"/>
    <w:rsid w:val="36721CEE"/>
    <w:rsid w:val="3674688D"/>
    <w:rsid w:val="3675642D"/>
    <w:rsid w:val="367807B7"/>
    <w:rsid w:val="36794FEB"/>
    <w:rsid w:val="36820BD0"/>
    <w:rsid w:val="368340BC"/>
    <w:rsid w:val="368816D2"/>
    <w:rsid w:val="36894863"/>
    <w:rsid w:val="368F18E7"/>
    <w:rsid w:val="369167D9"/>
    <w:rsid w:val="36941872"/>
    <w:rsid w:val="369462C9"/>
    <w:rsid w:val="369736C3"/>
    <w:rsid w:val="369B1405"/>
    <w:rsid w:val="36A75FFC"/>
    <w:rsid w:val="36A77DAA"/>
    <w:rsid w:val="36AA2E0C"/>
    <w:rsid w:val="36B02F49"/>
    <w:rsid w:val="36B060E9"/>
    <w:rsid w:val="36B10E7F"/>
    <w:rsid w:val="36B129D7"/>
    <w:rsid w:val="36B3674F"/>
    <w:rsid w:val="36B85B13"/>
    <w:rsid w:val="36BC6F7C"/>
    <w:rsid w:val="36C107AF"/>
    <w:rsid w:val="36C2393B"/>
    <w:rsid w:val="36C245DC"/>
    <w:rsid w:val="36C3270A"/>
    <w:rsid w:val="36C505FA"/>
    <w:rsid w:val="36C5381B"/>
    <w:rsid w:val="36C7044C"/>
    <w:rsid w:val="36C73FA8"/>
    <w:rsid w:val="36D30B9F"/>
    <w:rsid w:val="36D36DF1"/>
    <w:rsid w:val="36DA0180"/>
    <w:rsid w:val="36E02286"/>
    <w:rsid w:val="36E50230"/>
    <w:rsid w:val="36EA5EE9"/>
    <w:rsid w:val="36EB413B"/>
    <w:rsid w:val="36EE59D9"/>
    <w:rsid w:val="36EF29FB"/>
    <w:rsid w:val="36F01AF3"/>
    <w:rsid w:val="36F51D5E"/>
    <w:rsid w:val="36FB00F6"/>
    <w:rsid w:val="36FC2AF0"/>
    <w:rsid w:val="370074BA"/>
    <w:rsid w:val="37042CD1"/>
    <w:rsid w:val="370451FC"/>
    <w:rsid w:val="37070373"/>
    <w:rsid w:val="370912BC"/>
    <w:rsid w:val="370A0339"/>
    <w:rsid w:val="370D32D7"/>
    <w:rsid w:val="370D4A38"/>
    <w:rsid w:val="370E3632"/>
    <w:rsid w:val="37104806"/>
    <w:rsid w:val="37137DC6"/>
    <w:rsid w:val="37152F66"/>
    <w:rsid w:val="37160A8C"/>
    <w:rsid w:val="37182A56"/>
    <w:rsid w:val="371A6957"/>
    <w:rsid w:val="371B136A"/>
    <w:rsid w:val="371E1992"/>
    <w:rsid w:val="37260D07"/>
    <w:rsid w:val="372633C5"/>
    <w:rsid w:val="37265173"/>
    <w:rsid w:val="3727750B"/>
    <w:rsid w:val="37277AE9"/>
    <w:rsid w:val="372B31BA"/>
    <w:rsid w:val="37347358"/>
    <w:rsid w:val="37386C54"/>
    <w:rsid w:val="373A0C1E"/>
    <w:rsid w:val="373A417E"/>
    <w:rsid w:val="373F4487"/>
    <w:rsid w:val="373F6235"/>
    <w:rsid w:val="37411658"/>
    <w:rsid w:val="375021F0"/>
    <w:rsid w:val="37594C80"/>
    <w:rsid w:val="375A4E1C"/>
    <w:rsid w:val="375B3775"/>
    <w:rsid w:val="375D1C40"/>
    <w:rsid w:val="37634542"/>
    <w:rsid w:val="376A28C4"/>
    <w:rsid w:val="376A384F"/>
    <w:rsid w:val="376D0FF4"/>
    <w:rsid w:val="376D1185"/>
    <w:rsid w:val="37767DCE"/>
    <w:rsid w:val="377834F5"/>
    <w:rsid w:val="377C7920"/>
    <w:rsid w:val="377F0D27"/>
    <w:rsid w:val="377F5CE8"/>
    <w:rsid w:val="37850168"/>
    <w:rsid w:val="37887113"/>
    <w:rsid w:val="378A2E2C"/>
    <w:rsid w:val="378E2D18"/>
    <w:rsid w:val="378F29A5"/>
    <w:rsid w:val="378F793A"/>
    <w:rsid w:val="379171CD"/>
    <w:rsid w:val="379540A7"/>
    <w:rsid w:val="3796501D"/>
    <w:rsid w:val="37985945"/>
    <w:rsid w:val="379C71E3"/>
    <w:rsid w:val="379D3862"/>
    <w:rsid w:val="379E11AD"/>
    <w:rsid w:val="37A442EA"/>
    <w:rsid w:val="37AA1CA6"/>
    <w:rsid w:val="37AB5815"/>
    <w:rsid w:val="37B00EE0"/>
    <w:rsid w:val="37B03950"/>
    <w:rsid w:val="37B341B6"/>
    <w:rsid w:val="37B564F7"/>
    <w:rsid w:val="37B65D16"/>
    <w:rsid w:val="37B9264C"/>
    <w:rsid w:val="37BB61BF"/>
    <w:rsid w:val="37BD4DCC"/>
    <w:rsid w:val="37BF1123"/>
    <w:rsid w:val="37C30C14"/>
    <w:rsid w:val="37C4673A"/>
    <w:rsid w:val="37C624B2"/>
    <w:rsid w:val="37C8447C"/>
    <w:rsid w:val="37C8622A"/>
    <w:rsid w:val="37CA5DAF"/>
    <w:rsid w:val="37D20E57"/>
    <w:rsid w:val="37D559C4"/>
    <w:rsid w:val="37DE77FC"/>
    <w:rsid w:val="37E172EC"/>
    <w:rsid w:val="37E2547C"/>
    <w:rsid w:val="37E335F2"/>
    <w:rsid w:val="37E56311"/>
    <w:rsid w:val="37E82428"/>
    <w:rsid w:val="37EB78D4"/>
    <w:rsid w:val="37ED7A3F"/>
    <w:rsid w:val="37EE502E"/>
    <w:rsid w:val="37EF01AA"/>
    <w:rsid w:val="37F73375"/>
    <w:rsid w:val="37FE6A37"/>
    <w:rsid w:val="38033706"/>
    <w:rsid w:val="380D6333"/>
    <w:rsid w:val="380D685F"/>
    <w:rsid w:val="3814146F"/>
    <w:rsid w:val="38163439"/>
    <w:rsid w:val="38194CD8"/>
    <w:rsid w:val="382556DE"/>
    <w:rsid w:val="382611A3"/>
    <w:rsid w:val="38270896"/>
    <w:rsid w:val="382947EF"/>
    <w:rsid w:val="3834332E"/>
    <w:rsid w:val="3834566E"/>
    <w:rsid w:val="3834754A"/>
    <w:rsid w:val="383812E1"/>
    <w:rsid w:val="38392C84"/>
    <w:rsid w:val="383C4522"/>
    <w:rsid w:val="38417D8A"/>
    <w:rsid w:val="38434870"/>
    <w:rsid w:val="3845582B"/>
    <w:rsid w:val="384864BF"/>
    <w:rsid w:val="38496425"/>
    <w:rsid w:val="384B2E87"/>
    <w:rsid w:val="384C34A0"/>
    <w:rsid w:val="38523D46"/>
    <w:rsid w:val="38556AA5"/>
    <w:rsid w:val="38575800"/>
    <w:rsid w:val="38593326"/>
    <w:rsid w:val="385A696F"/>
    <w:rsid w:val="38605854"/>
    <w:rsid w:val="38653A79"/>
    <w:rsid w:val="386F3749"/>
    <w:rsid w:val="38710670"/>
    <w:rsid w:val="38711D79"/>
    <w:rsid w:val="38723954"/>
    <w:rsid w:val="38782879"/>
    <w:rsid w:val="38786CAE"/>
    <w:rsid w:val="387B7BA1"/>
    <w:rsid w:val="387F517D"/>
    <w:rsid w:val="3882287D"/>
    <w:rsid w:val="388746D3"/>
    <w:rsid w:val="38877E93"/>
    <w:rsid w:val="388859B9"/>
    <w:rsid w:val="388A3EB4"/>
    <w:rsid w:val="388C36FB"/>
    <w:rsid w:val="388C54A1"/>
    <w:rsid w:val="388C7258"/>
    <w:rsid w:val="388D076C"/>
    <w:rsid w:val="388E25E0"/>
    <w:rsid w:val="388F4F9A"/>
    <w:rsid w:val="38954539"/>
    <w:rsid w:val="38995E18"/>
    <w:rsid w:val="389C3E7B"/>
    <w:rsid w:val="389C645C"/>
    <w:rsid w:val="389E359A"/>
    <w:rsid w:val="389E6F8B"/>
    <w:rsid w:val="38A27E1A"/>
    <w:rsid w:val="38A30A45"/>
    <w:rsid w:val="38A87E0A"/>
    <w:rsid w:val="38A970F4"/>
    <w:rsid w:val="38AF140B"/>
    <w:rsid w:val="38AF573B"/>
    <w:rsid w:val="38B4055C"/>
    <w:rsid w:val="38B467AE"/>
    <w:rsid w:val="38B555EE"/>
    <w:rsid w:val="38B5728B"/>
    <w:rsid w:val="38B642D4"/>
    <w:rsid w:val="38B93DC5"/>
    <w:rsid w:val="38BB7B3D"/>
    <w:rsid w:val="38BC73AF"/>
    <w:rsid w:val="38BD11E3"/>
    <w:rsid w:val="38BD1B07"/>
    <w:rsid w:val="38BE0CD9"/>
    <w:rsid w:val="38BE5988"/>
    <w:rsid w:val="38CA4224"/>
    <w:rsid w:val="38CC3AF8"/>
    <w:rsid w:val="38CC7F9C"/>
    <w:rsid w:val="38D330D8"/>
    <w:rsid w:val="38D359D5"/>
    <w:rsid w:val="38D361E8"/>
    <w:rsid w:val="38D44AE9"/>
    <w:rsid w:val="38D46E50"/>
    <w:rsid w:val="38D571FF"/>
    <w:rsid w:val="38D678AA"/>
    <w:rsid w:val="38D87B7B"/>
    <w:rsid w:val="38D916F1"/>
    <w:rsid w:val="38D97FC3"/>
    <w:rsid w:val="38DA13A6"/>
    <w:rsid w:val="38E075A3"/>
    <w:rsid w:val="38E250CA"/>
    <w:rsid w:val="38E31684"/>
    <w:rsid w:val="38E8641A"/>
    <w:rsid w:val="38EA21D0"/>
    <w:rsid w:val="38EA6674"/>
    <w:rsid w:val="38EB6C68"/>
    <w:rsid w:val="38EF1C26"/>
    <w:rsid w:val="38F1355F"/>
    <w:rsid w:val="38F8669B"/>
    <w:rsid w:val="38FE661D"/>
    <w:rsid w:val="39037017"/>
    <w:rsid w:val="39054BA5"/>
    <w:rsid w:val="39094D4C"/>
    <w:rsid w:val="391022B2"/>
    <w:rsid w:val="39103EC1"/>
    <w:rsid w:val="391060DB"/>
    <w:rsid w:val="39120ACB"/>
    <w:rsid w:val="3912362F"/>
    <w:rsid w:val="39124D4B"/>
    <w:rsid w:val="39131727"/>
    <w:rsid w:val="39145F71"/>
    <w:rsid w:val="3914724D"/>
    <w:rsid w:val="39175A88"/>
    <w:rsid w:val="391B4A7F"/>
    <w:rsid w:val="391F00CC"/>
    <w:rsid w:val="3922196A"/>
    <w:rsid w:val="3923371B"/>
    <w:rsid w:val="39241B86"/>
    <w:rsid w:val="39243934"/>
    <w:rsid w:val="39251FD0"/>
    <w:rsid w:val="3929719C"/>
    <w:rsid w:val="392A2FD2"/>
    <w:rsid w:val="39355B41"/>
    <w:rsid w:val="393A417B"/>
    <w:rsid w:val="393B2A2C"/>
    <w:rsid w:val="393D1448"/>
    <w:rsid w:val="39455658"/>
    <w:rsid w:val="39493C2A"/>
    <w:rsid w:val="394E09B1"/>
    <w:rsid w:val="395317FC"/>
    <w:rsid w:val="395318DA"/>
    <w:rsid w:val="39535FC7"/>
    <w:rsid w:val="39554EAB"/>
    <w:rsid w:val="395A55A8"/>
    <w:rsid w:val="3962620A"/>
    <w:rsid w:val="39634C35"/>
    <w:rsid w:val="39665CFB"/>
    <w:rsid w:val="396C52DB"/>
    <w:rsid w:val="396E2E01"/>
    <w:rsid w:val="396E708A"/>
    <w:rsid w:val="3979779C"/>
    <w:rsid w:val="397E7D6B"/>
    <w:rsid w:val="398012D2"/>
    <w:rsid w:val="39862627"/>
    <w:rsid w:val="398B39B3"/>
    <w:rsid w:val="398E6FFF"/>
    <w:rsid w:val="39930ABA"/>
    <w:rsid w:val="39986D6B"/>
    <w:rsid w:val="39987E7E"/>
    <w:rsid w:val="399C171C"/>
    <w:rsid w:val="399F5B58"/>
    <w:rsid w:val="39A13FF9"/>
    <w:rsid w:val="39A20CFD"/>
    <w:rsid w:val="39A22AAB"/>
    <w:rsid w:val="39A446DE"/>
    <w:rsid w:val="39A607ED"/>
    <w:rsid w:val="39A64349"/>
    <w:rsid w:val="39A84565"/>
    <w:rsid w:val="39A86313"/>
    <w:rsid w:val="39A9208B"/>
    <w:rsid w:val="39AE76A2"/>
    <w:rsid w:val="39B05FC3"/>
    <w:rsid w:val="39B12CAD"/>
    <w:rsid w:val="39B27192"/>
    <w:rsid w:val="39B527DE"/>
    <w:rsid w:val="39BA4181"/>
    <w:rsid w:val="39BD78E5"/>
    <w:rsid w:val="39C11183"/>
    <w:rsid w:val="39C6129C"/>
    <w:rsid w:val="39C742BF"/>
    <w:rsid w:val="39C93426"/>
    <w:rsid w:val="39CB0253"/>
    <w:rsid w:val="39CB3DB0"/>
    <w:rsid w:val="39CE6256"/>
    <w:rsid w:val="39CF3348"/>
    <w:rsid w:val="39D30EB6"/>
    <w:rsid w:val="39D4078A"/>
    <w:rsid w:val="39D7412F"/>
    <w:rsid w:val="39D864CC"/>
    <w:rsid w:val="39DE1D35"/>
    <w:rsid w:val="39E11825"/>
    <w:rsid w:val="39E76710"/>
    <w:rsid w:val="39E82BB3"/>
    <w:rsid w:val="39EA1B03"/>
    <w:rsid w:val="39F057E5"/>
    <w:rsid w:val="39F2758E"/>
    <w:rsid w:val="39F27F9B"/>
    <w:rsid w:val="39F350B4"/>
    <w:rsid w:val="39F41558"/>
    <w:rsid w:val="39F552D0"/>
    <w:rsid w:val="39FC040D"/>
    <w:rsid w:val="39FF7DCA"/>
    <w:rsid w:val="3A015A23"/>
    <w:rsid w:val="3A087445"/>
    <w:rsid w:val="3A092BC1"/>
    <w:rsid w:val="3A1867E1"/>
    <w:rsid w:val="3A190FBF"/>
    <w:rsid w:val="3A1B5921"/>
    <w:rsid w:val="3A204BE4"/>
    <w:rsid w:val="3A222087"/>
    <w:rsid w:val="3A244B12"/>
    <w:rsid w:val="3A2A6410"/>
    <w:rsid w:val="3A2C5392"/>
    <w:rsid w:val="3A3053DE"/>
    <w:rsid w:val="3A312A70"/>
    <w:rsid w:val="3A3519D1"/>
    <w:rsid w:val="3A355F37"/>
    <w:rsid w:val="3A386910"/>
    <w:rsid w:val="3A3A0A7E"/>
    <w:rsid w:val="3A3B7187"/>
    <w:rsid w:val="3A3E6C77"/>
    <w:rsid w:val="3A446667"/>
    <w:rsid w:val="3A4660DD"/>
    <w:rsid w:val="3A4A1178"/>
    <w:rsid w:val="3A4B3142"/>
    <w:rsid w:val="3A4E617D"/>
    <w:rsid w:val="3A4F49E1"/>
    <w:rsid w:val="3A512390"/>
    <w:rsid w:val="3A560301"/>
    <w:rsid w:val="3A563FC1"/>
    <w:rsid w:val="3A575643"/>
    <w:rsid w:val="3A5C70FE"/>
    <w:rsid w:val="3A60099C"/>
    <w:rsid w:val="3A613D18"/>
    <w:rsid w:val="3A622985"/>
    <w:rsid w:val="3A64576F"/>
    <w:rsid w:val="3A687850"/>
    <w:rsid w:val="3A6A35C8"/>
    <w:rsid w:val="3A6A56B0"/>
    <w:rsid w:val="3A753C27"/>
    <w:rsid w:val="3A762867"/>
    <w:rsid w:val="3A79380C"/>
    <w:rsid w:val="3A7C499E"/>
    <w:rsid w:val="3A7E31E6"/>
    <w:rsid w:val="3A7F4BED"/>
    <w:rsid w:val="3A802DEC"/>
    <w:rsid w:val="3A804B9A"/>
    <w:rsid w:val="3A81581B"/>
    <w:rsid w:val="3A82599C"/>
    <w:rsid w:val="3A8328DC"/>
    <w:rsid w:val="3A850402"/>
    <w:rsid w:val="3A85488B"/>
    <w:rsid w:val="3A862007"/>
    <w:rsid w:val="3A8913BD"/>
    <w:rsid w:val="3A8A0F42"/>
    <w:rsid w:val="3A8B0C83"/>
    <w:rsid w:val="3A8C20DC"/>
    <w:rsid w:val="3A8D375B"/>
    <w:rsid w:val="3A8F12A9"/>
    <w:rsid w:val="3A920D71"/>
    <w:rsid w:val="3A970136"/>
    <w:rsid w:val="3A992100"/>
    <w:rsid w:val="3A9E7716"/>
    <w:rsid w:val="3AA02EDE"/>
    <w:rsid w:val="3AA24606"/>
    <w:rsid w:val="3AA505E4"/>
    <w:rsid w:val="3AA9511E"/>
    <w:rsid w:val="3AAC3BE1"/>
    <w:rsid w:val="3AB24F6F"/>
    <w:rsid w:val="3AB31AA7"/>
    <w:rsid w:val="3AB4098F"/>
    <w:rsid w:val="3ABE79AB"/>
    <w:rsid w:val="3AC16F61"/>
    <w:rsid w:val="3AC334D5"/>
    <w:rsid w:val="3AC86AC0"/>
    <w:rsid w:val="3AC874F7"/>
    <w:rsid w:val="3ACB1E7C"/>
    <w:rsid w:val="3AD15A67"/>
    <w:rsid w:val="3AD62A0C"/>
    <w:rsid w:val="3ADD620D"/>
    <w:rsid w:val="3AE55345"/>
    <w:rsid w:val="3AE74C19"/>
    <w:rsid w:val="3AE96BE3"/>
    <w:rsid w:val="3AEC01CF"/>
    <w:rsid w:val="3AEC0481"/>
    <w:rsid w:val="3AED0B0B"/>
    <w:rsid w:val="3AED691E"/>
    <w:rsid w:val="3AEF12E7"/>
    <w:rsid w:val="3AF563A8"/>
    <w:rsid w:val="3AF64E5C"/>
    <w:rsid w:val="3AF92B9E"/>
    <w:rsid w:val="3AFB06C4"/>
    <w:rsid w:val="3AFD443D"/>
    <w:rsid w:val="3AFE2091"/>
    <w:rsid w:val="3B00217F"/>
    <w:rsid w:val="3B033286"/>
    <w:rsid w:val="3B051543"/>
    <w:rsid w:val="3B0532F1"/>
    <w:rsid w:val="3B0A4DAB"/>
    <w:rsid w:val="3B117EE8"/>
    <w:rsid w:val="3B135879"/>
    <w:rsid w:val="3B137FDD"/>
    <w:rsid w:val="3B1C71C8"/>
    <w:rsid w:val="3B21495D"/>
    <w:rsid w:val="3B28000C"/>
    <w:rsid w:val="3B2838A0"/>
    <w:rsid w:val="3B2A71FC"/>
    <w:rsid w:val="3B2B2C41"/>
    <w:rsid w:val="3B2C2F74"/>
    <w:rsid w:val="3B2D45F6"/>
    <w:rsid w:val="3B2E5A94"/>
    <w:rsid w:val="3B304195"/>
    <w:rsid w:val="3B344A3C"/>
    <w:rsid w:val="3B3A381D"/>
    <w:rsid w:val="3B3D02DF"/>
    <w:rsid w:val="3B3D75CD"/>
    <w:rsid w:val="3B443E1A"/>
    <w:rsid w:val="3B4D00F6"/>
    <w:rsid w:val="3B561D9F"/>
    <w:rsid w:val="3B5878C5"/>
    <w:rsid w:val="3B5A7B6B"/>
    <w:rsid w:val="3B5B19C8"/>
    <w:rsid w:val="3B605CFC"/>
    <w:rsid w:val="3B612F35"/>
    <w:rsid w:val="3B657F1A"/>
    <w:rsid w:val="3B67052F"/>
    <w:rsid w:val="3B691AD2"/>
    <w:rsid w:val="3B6C5AEB"/>
    <w:rsid w:val="3B6F4C0F"/>
    <w:rsid w:val="3B712735"/>
    <w:rsid w:val="3B716BD9"/>
    <w:rsid w:val="3B7235DF"/>
    <w:rsid w:val="3B76329A"/>
    <w:rsid w:val="3B7A0A01"/>
    <w:rsid w:val="3B7C2383"/>
    <w:rsid w:val="3B7C7A57"/>
    <w:rsid w:val="3B7F65F5"/>
    <w:rsid w:val="3B8420D3"/>
    <w:rsid w:val="3B871B87"/>
    <w:rsid w:val="3B881B73"/>
    <w:rsid w:val="3B8B1A48"/>
    <w:rsid w:val="3B903503"/>
    <w:rsid w:val="3B90705F"/>
    <w:rsid w:val="3B926BF6"/>
    <w:rsid w:val="3B950B19"/>
    <w:rsid w:val="3B960CAB"/>
    <w:rsid w:val="3B986F4A"/>
    <w:rsid w:val="3B9B5A04"/>
    <w:rsid w:val="3B9B5DEC"/>
    <w:rsid w:val="3B9F153B"/>
    <w:rsid w:val="3BA3677B"/>
    <w:rsid w:val="3BA746C1"/>
    <w:rsid w:val="3BA74A46"/>
    <w:rsid w:val="3BA83D2E"/>
    <w:rsid w:val="3BAA5C47"/>
    <w:rsid w:val="3BAD4103"/>
    <w:rsid w:val="3BB32D4D"/>
    <w:rsid w:val="3BBB2F20"/>
    <w:rsid w:val="3BBC0AEE"/>
    <w:rsid w:val="3BBC42F8"/>
    <w:rsid w:val="3BBF5F54"/>
    <w:rsid w:val="3BC211E2"/>
    <w:rsid w:val="3BC60CD2"/>
    <w:rsid w:val="3BCB62E9"/>
    <w:rsid w:val="3BD01B51"/>
    <w:rsid w:val="3BD238CE"/>
    <w:rsid w:val="3BD258C9"/>
    <w:rsid w:val="3BD31789"/>
    <w:rsid w:val="3BD418BA"/>
    <w:rsid w:val="3BD67C9F"/>
    <w:rsid w:val="3BDA29D0"/>
    <w:rsid w:val="3BDA2DD9"/>
    <w:rsid w:val="3BDA477E"/>
    <w:rsid w:val="3BDC22A4"/>
    <w:rsid w:val="3BDD2618"/>
    <w:rsid w:val="3BDD601C"/>
    <w:rsid w:val="3BE07E5D"/>
    <w:rsid w:val="3BE13D5E"/>
    <w:rsid w:val="3BE9596A"/>
    <w:rsid w:val="3BEE0229"/>
    <w:rsid w:val="3BF05AE6"/>
    <w:rsid w:val="3BF13876"/>
    <w:rsid w:val="3BF3157A"/>
    <w:rsid w:val="3BF33A92"/>
    <w:rsid w:val="3BF35255"/>
    <w:rsid w:val="3BF75330"/>
    <w:rsid w:val="3C095063"/>
    <w:rsid w:val="3C0B0DDB"/>
    <w:rsid w:val="3C0C2277"/>
    <w:rsid w:val="3C0E61D6"/>
    <w:rsid w:val="3C116DD8"/>
    <w:rsid w:val="3C12216A"/>
    <w:rsid w:val="3C153A08"/>
    <w:rsid w:val="3C162E45"/>
    <w:rsid w:val="3C17152E"/>
    <w:rsid w:val="3C1C56EF"/>
    <w:rsid w:val="3C1F4887"/>
    <w:rsid w:val="3C205580"/>
    <w:rsid w:val="3C21174F"/>
    <w:rsid w:val="3C2854E9"/>
    <w:rsid w:val="3C2E41E5"/>
    <w:rsid w:val="3C2F0D84"/>
    <w:rsid w:val="3C2F1D0A"/>
    <w:rsid w:val="3C326368"/>
    <w:rsid w:val="3C334AAE"/>
    <w:rsid w:val="3C340332"/>
    <w:rsid w:val="3C362434"/>
    <w:rsid w:val="3C375CF5"/>
    <w:rsid w:val="3C3B0C4E"/>
    <w:rsid w:val="3C4128CE"/>
    <w:rsid w:val="3C485B8B"/>
    <w:rsid w:val="3C4A1560"/>
    <w:rsid w:val="3C5143DA"/>
    <w:rsid w:val="3C556C21"/>
    <w:rsid w:val="3C57638E"/>
    <w:rsid w:val="3C5C1637"/>
    <w:rsid w:val="3C5E0F0B"/>
    <w:rsid w:val="3C5F6B62"/>
    <w:rsid w:val="3C634773"/>
    <w:rsid w:val="3C65673D"/>
    <w:rsid w:val="3C687F58"/>
    <w:rsid w:val="3C6C53D7"/>
    <w:rsid w:val="3C6F136A"/>
    <w:rsid w:val="3C704B06"/>
    <w:rsid w:val="3C7050E2"/>
    <w:rsid w:val="3C7152BA"/>
    <w:rsid w:val="3C722C08"/>
    <w:rsid w:val="3C834E15"/>
    <w:rsid w:val="3C862210"/>
    <w:rsid w:val="3C94492D"/>
    <w:rsid w:val="3C997325"/>
    <w:rsid w:val="3C9E2FD7"/>
    <w:rsid w:val="3CA11B80"/>
    <w:rsid w:val="3CA31014"/>
    <w:rsid w:val="3CA628B2"/>
    <w:rsid w:val="3CAF17E7"/>
    <w:rsid w:val="3CAF1F69"/>
    <w:rsid w:val="3CB600F5"/>
    <w:rsid w:val="3CB74C32"/>
    <w:rsid w:val="3CC03974"/>
    <w:rsid w:val="3CC26F4F"/>
    <w:rsid w:val="3CC712FF"/>
    <w:rsid w:val="3CCA65A0"/>
    <w:rsid w:val="3CCB2319"/>
    <w:rsid w:val="3CCD6091"/>
    <w:rsid w:val="3CD411CD"/>
    <w:rsid w:val="3CD967E3"/>
    <w:rsid w:val="3CDA001B"/>
    <w:rsid w:val="3CDF4258"/>
    <w:rsid w:val="3CE12CB3"/>
    <w:rsid w:val="3CE3696D"/>
    <w:rsid w:val="3CE4670D"/>
    <w:rsid w:val="3CE77152"/>
    <w:rsid w:val="3CF25AF7"/>
    <w:rsid w:val="3CFE26EE"/>
    <w:rsid w:val="3D015D3A"/>
    <w:rsid w:val="3D031AB2"/>
    <w:rsid w:val="3D031E2F"/>
    <w:rsid w:val="3D05582A"/>
    <w:rsid w:val="3D071314"/>
    <w:rsid w:val="3D071835"/>
    <w:rsid w:val="3D0C6BB9"/>
    <w:rsid w:val="3D0F66A9"/>
    <w:rsid w:val="3D160305"/>
    <w:rsid w:val="3D19153A"/>
    <w:rsid w:val="3D1A640D"/>
    <w:rsid w:val="3D1D0DC6"/>
    <w:rsid w:val="3D1E069A"/>
    <w:rsid w:val="3D22018A"/>
    <w:rsid w:val="3D22462E"/>
    <w:rsid w:val="3D2263DC"/>
    <w:rsid w:val="3D251A29"/>
    <w:rsid w:val="3D26440A"/>
    <w:rsid w:val="3D2739F3"/>
    <w:rsid w:val="3D2E41D4"/>
    <w:rsid w:val="3D346110"/>
    <w:rsid w:val="3D370EC2"/>
    <w:rsid w:val="3D37175C"/>
    <w:rsid w:val="3D3746C7"/>
    <w:rsid w:val="3D385C00"/>
    <w:rsid w:val="3D397D9A"/>
    <w:rsid w:val="3D3D3216"/>
    <w:rsid w:val="3D3D4FC4"/>
    <w:rsid w:val="3D4640F9"/>
    <w:rsid w:val="3D4771CB"/>
    <w:rsid w:val="3D483969"/>
    <w:rsid w:val="3D4E0F7F"/>
    <w:rsid w:val="3D4E1740"/>
    <w:rsid w:val="3D516CC2"/>
    <w:rsid w:val="3D527239"/>
    <w:rsid w:val="3D5315C2"/>
    <w:rsid w:val="3D532A3A"/>
    <w:rsid w:val="3D54588C"/>
    <w:rsid w:val="3D5567B2"/>
    <w:rsid w:val="3D5A2677"/>
    <w:rsid w:val="3D5C645B"/>
    <w:rsid w:val="3D5D7415"/>
    <w:rsid w:val="3D606F05"/>
    <w:rsid w:val="3D6A7D83"/>
    <w:rsid w:val="3D6C7658"/>
    <w:rsid w:val="3D6D7DF9"/>
    <w:rsid w:val="3D741079"/>
    <w:rsid w:val="3D761D1B"/>
    <w:rsid w:val="3D785FFC"/>
    <w:rsid w:val="3D7A1951"/>
    <w:rsid w:val="3D7D1865"/>
    <w:rsid w:val="3D7F1816"/>
    <w:rsid w:val="3D806D56"/>
    <w:rsid w:val="3D870E43"/>
    <w:rsid w:val="3D874491"/>
    <w:rsid w:val="3D883E24"/>
    <w:rsid w:val="3D9170BE"/>
    <w:rsid w:val="3D9B1CEB"/>
    <w:rsid w:val="3DA21757"/>
    <w:rsid w:val="3DA520A2"/>
    <w:rsid w:val="3DA652FE"/>
    <w:rsid w:val="3DAA0180"/>
    <w:rsid w:val="3DAC214A"/>
    <w:rsid w:val="3DB17760"/>
    <w:rsid w:val="3DB37034"/>
    <w:rsid w:val="3DB433AC"/>
    <w:rsid w:val="3DB44122"/>
    <w:rsid w:val="3DB542C4"/>
    <w:rsid w:val="3DB80859"/>
    <w:rsid w:val="3DB86D41"/>
    <w:rsid w:val="3DBC415D"/>
    <w:rsid w:val="3DBF2A78"/>
    <w:rsid w:val="3DC456E6"/>
    <w:rsid w:val="3DCC00F6"/>
    <w:rsid w:val="3DCF7433"/>
    <w:rsid w:val="3DD0408A"/>
    <w:rsid w:val="3DD376D7"/>
    <w:rsid w:val="3DD37A39"/>
    <w:rsid w:val="3DD654F0"/>
    <w:rsid w:val="3DDA6CB7"/>
    <w:rsid w:val="3DDB658B"/>
    <w:rsid w:val="3DDF42CD"/>
    <w:rsid w:val="3DE0182C"/>
    <w:rsid w:val="3DE10046"/>
    <w:rsid w:val="3DE37306"/>
    <w:rsid w:val="3DE524D0"/>
    <w:rsid w:val="3DE56464"/>
    <w:rsid w:val="3DE966BA"/>
    <w:rsid w:val="3DEA67CE"/>
    <w:rsid w:val="3DED69EA"/>
    <w:rsid w:val="3DF24001"/>
    <w:rsid w:val="3DF44CC0"/>
    <w:rsid w:val="3DF5589F"/>
    <w:rsid w:val="3DFA1107"/>
    <w:rsid w:val="3DFA4C63"/>
    <w:rsid w:val="3DFC762D"/>
    <w:rsid w:val="3E020D61"/>
    <w:rsid w:val="3E043D34"/>
    <w:rsid w:val="3E047890"/>
    <w:rsid w:val="3E050ED7"/>
    <w:rsid w:val="3E057C97"/>
    <w:rsid w:val="3E0A124F"/>
    <w:rsid w:val="3E1026D9"/>
    <w:rsid w:val="3E103D82"/>
    <w:rsid w:val="3E115695"/>
    <w:rsid w:val="3E135D25"/>
    <w:rsid w:val="3E142A60"/>
    <w:rsid w:val="3E142DAC"/>
    <w:rsid w:val="3E18158D"/>
    <w:rsid w:val="3E1D3826"/>
    <w:rsid w:val="3E1D47C5"/>
    <w:rsid w:val="3E274C18"/>
    <w:rsid w:val="3E3434E2"/>
    <w:rsid w:val="3E35213F"/>
    <w:rsid w:val="3E396BE6"/>
    <w:rsid w:val="3E3A7756"/>
    <w:rsid w:val="3E412892"/>
    <w:rsid w:val="3E4B3711"/>
    <w:rsid w:val="3E4D1D00"/>
    <w:rsid w:val="3E522CF1"/>
    <w:rsid w:val="3E587BDC"/>
    <w:rsid w:val="3E595E2E"/>
    <w:rsid w:val="3E5C591E"/>
    <w:rsid w:val="3E5E3444"/>
    <w:rsid w:val="3E5F6CF2"/>
    <w:rsid w:val="3E602FB4"/>
    <w:rsid w:val="3E607257"/>
    <w:rsid w:val="3E61499C"/>
    <w:rsid w:val="3E6A6C63"/>
    <w:rsid w:val="3E6D1670"/>
    <w:rsid w:val="3E6E73FF"/>
    <w:rsid w:val="3E6F5651"/>
    <w:rsid w:val="3E726EF0"/>
    <w:rsid w:val="3E7475E3"/>
    <w:rsid w:val="3E7569E0"/>
    <w:rsid w:val="3E77193B"/>
    <w:rsid w:val="3E771BE2"/>
    <w:rsid w:val="3E772758"/>
    <w:rsid w:val="3E77440F"/>
    <w:rsid w:val="3E774506"/>
    <w:rsid w:val="3E7C38CA"/>
    <w:rsid w:val="3E7E5894"/>
    <w:rsid w:val="3E7F2B27"/>
    <w:rsid w:val="3E7F4D8F"/>
    <w:rsid w:val="3E8322FF"/>
    <w:rsid w:val="3E853C97"/>
    <w:rsid w:val="3E8804C1"/>
    <w:rsid w:val="3E8A248B"/>
    <w:rsid w:val="3E8C2329"/>
    <w:rsid w:val="3E8C2D59"/>
    <w:rsid w:val="3E8E045D"/>
    <w:rsid w:val="3E8F6A1A"/>
    <w:rsid w:val="3E94568C"/>
    <w:rsid w:val="3E962E4E"/>
    <w:rsid w:val="3E976956"/>
    <w:rsid w:val="3E9B4698"/>
    <w:rsid w:val="3E9E4E87"/>
    <w:rsid w:val="3EA352FB"/>
    <w:rsid w:val="3EA61C0D"/>
    <w:rsid w:val="3EAB0654"/>
    <w:rsid w:val="3EAD1CD6"/>
    <w:rsid w:val="3EAD617A"/>
    <w:rsid w:val="3EB017C6"/>
    <w:rsid w:val="3EB516C8"/>
    <w:rsid w:val="3EB766D4"/>
    <w:rsid w:val="3EC13AB1"/>
    <w:rsid w:val="3EC166B3"/>
    <w:rsid w:val="3EC4428E"/>
    <w:rsid w:val="3EC643C8"/>
    <w:rsid w:val="3EC85481"/>
    <w:rsid w:val="3ECA2888"/>
    <w:rsid w:val="3ECA6D2C"/>
    <w:rsid w:val="3ED022A8"/>
    <w:rsid w:val="3EDF05B0"/>
    <w:rsid w:val="3EE002FD"/>
    <w:rsid w:val="3EE15E23"/>
    <w:rsid w:val="3EE17BD1"/>
    <w:rsid w:val="3EE2728E"/>
    <w:rsid w:val="3EE417EC"/>
    <w:rsid w:val="3EE53B65"/>
    <w:rsid w:val="3EE9143E"/>
    <w:rsid w:val="3EED2A1A"/>
    <w:rsid w:val="3EF213E3"/>
    <w:rsid w:val="3EF47F62"/>
    <w:rsid w:val="3EF913BF"/>
    <w:rsid w:val="3EF9316D"/>
    <w:rsid w:val="3EFD2865"/>
    <w:rsid w:val="3F0062A9"/>
    <w:rsid w:val="3F027B6D"/>
    <w:rsid w:val="3F077B19"/>
    <w:rsid w:val="3F0A537A"/>
    <w:rsid w:val="3F0D0193"/>
    <w:rsid w:val="3F0D1A77"/>
    <w:rsid w:val="3F0D4E6A"/>
    <w:rsid w:val="3F147FA7"/>
    <w:rsid w:val="3F156FC3"/>
    <w:rsid w:val="3F1869B8"/>
    <w:rsid w:val="3F193EC1"/>
    <w:rsid w:val="3F1D3DCD"/>
    <w:rsid w:val="3F1D716E"/>
    <w:rsid w:val="3F2006FA"/>
    <w:rsid w:val="3F200BF6"/>
    <w:rsid w:val="3F2301EA"/>
    <w:rsid w:val="3F23643C"/>
    <w:rsid w:val="3F261655"/>
    <w:rsid w:val="3F272BCD"/>
    <w:rsid w:val="3F3348D1"/>
    <w:rsid w:val="3F364F5B"/>
    <w:rsid w:val="3F381EE7"/>
    <w:rsid w:val="3F397A0D"/>
    <w:rsid w:val="3F3B19D7"/>
    <w:rsid w:val="3F3B32A6"/>
    <w:rsid w:val="3F3B4420"/>
    <w:rsid w:val="3F435DB6"/>
    <w:rsid w:val="3F440F89"/>
    <w:rsid w:val="3F485EA2"/>
    <w:rsid w:val="3F4B3FFA"/>
    <w:rsid w:val="3F4C5993"/>
    <w:rsid w:val="3F4F0EB9"/>
    <w:rsid w:val="3F4F7231"/>
    <w:rsid w:val="3F516B05"/>
    <w:rsid w:val="3F540DE4"/>
    <w:rsid w:val="3F56236D"/>
    <w:rsid w:val="3F5D41B8"/>
    <w:rsid w:val="3F5E2757"/>
    <w:rsid w:val="3F6525B0"/>
    <w:rsid w:val="3F652ECD"/>
    <w:rsid w:val="3F696545"/>
    <w:rsid w:val="3F6A406B"/>
    <w:rsid w:val="3F6A6789"/>
    <w:rsid w:val="3F6D2E6F"/>
    <w:rsid w:val="3F6E3B5B"/>
    <w:rsid w:val="3F6E5909"/>
    <w:rsid w:val="3F733903"/>
    <w:rsid w:val="3F7559D6"/>
    <w:rsid w:val="3F8A0269"/>
    <w:rsid w:val="3F8B63C3"/>
    <w:rsid w:val="3F960493"/>
    <w:rsid w:val="3F9D1D4A"/>
    <w:rsid w:val="3FA032E2"/>
    <w:rsid w:val="3FA26360"/>
    <w:rsid w:val="3FA36C86"/>
    <w:rsid w:val="3FA4132B"/>
    <w:rsid w:val="3FAA6758"/>
    <w:rsid w:val="3FAE21A9"/>
    <w:rsid w:val="3FB35A12"/>
    <w:rsid w:val="3FB377C0"/>
    <w:rsid w:val="3FB928FC"/>
    <w:rsid w:val="3FBA0B4E"/>
    <w:rsid w:val="3FBD23EC"/>
    <w:rsid w:val="3FBD419A"/>
    <w:rsid w:val="3FBE443C"/>
    <w:rsid w:val="3FC27F85"/>
    <w:rsid w:val="3FC30919"/>
    <w:rsid w:val="3FC66D90"/>
    <w:rsid w:val="3FCE0156"/>
    <w:rsid w:val="3FD15E98"/>
    <w:rsid w:val="3FD45259"/>
    <w:rsid w:val="3FD57736"/>
    <w:rsid w:val="3FD87226"/>
    <w:rsid w:val="3FDA770D"/>
    <w:rsid w:val="3FDF51CD"/>
    <w:rsid w:val="3FE16591"/>
    <w:rsid w:val="3FE67B95"/>
    <w:rsid w:val="3FE94F8F"/>
    <w:rsid w:val="3FF34060"/>
    <w:rsid w:val="3FF37BBC"/>
    <w:rsid w:val="3FF676AC"/>
    <w:rsid w:val="3FF73F55"/>
    <w:rsid w:val="3FFA0F4B"/>
    <w:rsid w:val="3FFA3176"/>
    <w:rsid w:val="3FFC64EE"/>
    <w:rsid w:val="3FFE6FA1"/>
    <w:rsid w:val="400224F5"/>
    <w:rsid w:val="400735C9"/>
    <w:rsid w:val="40073668"/>
    <w:rsid w:val="40097575"/>
    <w:rsid w:val="400C6ED0"/>
    <w:rsid w:val="400D75D9"/>
    <w:rsid w:val="4010076E"/>
    <w:rsid w:val="40104B97"/>
    <w:rsid w:val="4013200C"/>
    <w:rsid w:val="401531B3"/>
    <w:rsid w:val="40155D85"/>
    <w:rsid w:val="401670B8"/>
    <w:rsid w:val="40183AC7"/>
    <w:rsid w:val="401C35B7"/>
    <w:rsid w:val="401C5365"/>
    <w:rsid w:val="401D10DD"/>
    <w:rsid w:val="401D592F"/>
    <w:rsid w:val="4020651C"/>
    <w:rsid w:val="402217E0"/>
    <w:rsid w:val="40235B74"/>
    <w:rsid w:val="402661E4"/>
    <w:rsid w:val="40275AB8"/>
    <w:rsid w:val="402856B5"/>
    <w:rsid w:val="402B29D2"/>
    <w:rsid w:val="402B55A8"/>
    <w:rsid w:val="402E3FB2"/>
    <w:rsid w:val="40302BBE"/>
    <w:rsid w:val="40316D1E"/>
    <w:rsid w:val="40325444"/>
    <w:rsid w:val="40356427"/>
    <w:rsid w:val="40387480"/>
    <w:rsid w:val="403B57D6"/>
    <w:rsid w:val="403D1680"/>
    <w:rsid w:val="403F72A5"/>
    <w:rsid w:val="404619BC"/>
    <w:rsid w:val="4049640A"/>
    <w:rsid w:val="404B5C4A"/>
    <w:rsid w:val="404B79F8"/>
    <w:rsid w:val="404C774B"/>
    <w:rsid w:val="404D4C9A"/>
    <w:rsid w:val="40583A17"/>
    <w:rsid w:val="40583EC3"/>
    <w:rsid w:val="405D4EC2"/>
    <w:rsid w:val="405E3BCF"/>
    <w:rsid w:val="40610FCA"/>
    <w:rsid w:val="40622AED"/>
    <w:rsid w:val="406665E0"/>
    <w:rsid w:val="406717AC"/>
    <w:rsid w:val="406960D0"/>
    <w:rsid w:val="406B009A"/>
    <w:rsid w:val="406B3BF6"/>
    <w:rsid w:val="407436D1"/>
    <w:rsid w:val="40762940"/>
    <w:rsid w:val="40790055"/>
    <w:rsid w:val="407F3B46"/>
    <w:rsid w:val="407F58F4"/>
    <w:rsid w:val="4080090B"/>
    <w:rsid w:val="40856C3D"/>
    <w:rsid w:val="408761E5"/>
    <w:rsid w:val="408B4299"/>
    <w:rsid w:val="408B72D1"/>
    <w:rsid w:val="408F46DB"/>
    <w:rsid w:val="408F4F76"/>
    <w:rsid w:val="40905D53"/>
    <w:rsid w:val="40923879"/>
    <w:rsid w:val="40942156"/>
    <w:rsid w:val="40967E63"/>
    <w:rsid w:val="409969B6"/>
    <w:rsid w:val="409D5D7A"/>
    <w:rsid w:val="409E3FCC"/>
    <w:rsid w:val="409F4703"/>
    <w:rsid w:val="40A03CFB"/>
    <w:rsid w:val="40A23390"/>
    <w:rsid w:val="40A23ECD"/>
    <w:rsid w:val="40A35311"/>
    <w:rsid w:val="40A85F94"/>
    <w:rsid w:val="40A86BF9"/>
    <w:rsid w:val="40A9471F"/>
    <w:rsid w:val="40AA67DA"/>
    <w:rsid w:val="40AB39BF"/>
    <w:rsid w:val="40AE1D1B"/>
    <w:rsid w:val="40B35E4B"/>
    <w:rsid w:val="40B40D43"/>
    <w:rsid w:val="40B57568"/>
    <w:rsid w:val="40B76E3C"/>
    <w:rsid w:val="40B841A9"/>
    <w:rsid w:val="40BC6B48"/>
    <w:rsid w:val="40BC7E78"/>
    <w:rsid w:val="40BE466E"/>
    <w:rsid w:val="40C003E6"/>
    <w:rsid w:val="40C34607"/>
    <w:rsid w:val="40C41559"/>
    <w:rsid w:val="40C8729B"/>
    <w:rsid w:val="40CD2B03"/>
    <w:rsid w:val="40D04715"/>
    <w:rsid w:val="40D377BF"/>
    <w:rsid w:val="40D53766"/>
    <w:rsid w:val="40D914A8"/>
    <w:rsid w:val="40DA6FCE"/>
    <w:rsid w:val="40DC0C78"/>
    <w:rsid w:val="40DC68A2"/>
    <w:rsid w:val="40DD7F90"/>
    <w:rsid w:val="40DE04B1"/>
    <w:rsid w:val="40E12CA2"/>
    <w:rsid w:val="40E37C31"/>
    <w:rsid w:val="40E439A9"/>
    <w:rsid w:val="40E51BFB"/>
    <w:rsid w:val="40E83499"/>
    <w:rsid w:val="40EA1C0C"/>
    <w:rsid w:val="40EC2BD2"/>
    <w:rsid w:val="40ED35B3"/>
    <w:rsid w:val="40F300AD"/>
    <w:rsid w:val="40F60F8C"/>
    <w:rsid w:val="40F761A9"/>
    <w:rsid w:val="40F8571D"/>
    <w:rsid w:val="40F93FD5"/>
    <w:rsid w:val="40FA31CC"/>
    <w:rsid w:val="40FA7CEB"/>
    <w:rsid w:val="40FB1C0B"/>
    <w:rsid w:val="40FB7670"/>
    <w:rsid w:val="410645A3"/>
    <w:rsid w:val="410837C3"/>
    <w:rsid w:val="410C362B"/>
    <w:rsid w:val="41104BE4"/>
    <w:rsid w:val="41110C42"/>
    <w:rsid w:val="41130F3F"/>
    <w:rsid w:val="411918A4"/>
    <w:rsid w:val="411A14F0"/>
    <w:rsid w:val="411C3143"/>
    <w:rsid w:val="411D7E73"/>
    <w:rsid w:val="411E6EBB"/>
    <w:rsid w:val="411E79D5"/>
    <w:rsid w:val="41232723"/>
    <w:rsid w:val="412531D5"/>
    <w:rsid w:val="4125649B"/>
    <w:rsid w:val="412F2E76"/>
    <w:rsid w:val="4137194E"/>
    <w:rsid w:val="413761CE"/>
    <w:rsid w:val="413900B2"/>
    <w:rsid w:val="413A1E7C"/>
    <w:rsid w:val="41426B54"/>
    <w:rsid w:val="41434B73"/>
    <w:rsid w:val="41460888"/>
    <w:rsid w:val="41463239"/>
    <w:rsid w:val="41472D70"/>
    <w:rsid w:val="41483F38"/>
    <w:rsid w:val="414A4154"/>
    <w:rsid w:val="414C1688"/>
    <w:rsid w:val="414D59F2"/>
    <w:rsid w:val="4150545A"/>
    <w:rsid w:val="41541B00"/>
    <w:rsid w:val="41586871"/>
    <w:rsid w:val="415D5D41"/>
    <w:rsid w:val="41615155"/>
    <w:rsid w:val="416B6CE2"/>
    <w:rsid w:val="416D1BF0"/>
    <w:rsid w:val="41705E06"/>
    <w:rsid w:val="4171348E"/>
    <w:rsid w:val="41720E7D"/>
    <w:rsid w:val="41792343"/>
    <w:rsid w:val="4182744A"/>
    <w:rsid w:val="41831BE9"/>
    <w:rsid w:val="41853921"/>
    <w:rsid w:val="41874A60"/>
    <w:rsid w:val="418C651A"/>
    <w:rsid w:val="418F3D98"/>
    <w:rsid w:val="41901586"/>
    <w:rsid w:val="419453CF"/>
    <w:rsid w:val="41955799"/>
    <w:rsid w:val="41967399"/>
    <w:rsid w:val="41990AA1"/>
    <w:rsid w:val="419E451A"/>
    <w:rsid w:val="41A21717"/>
    <w:rsid w:val="41A25D3E"/>
    <w:rsid w:val="41A4267C"/>
    <w:rsid w:val="41A5138A"/>
    <w:rsid w:val="41A87BDE"/>
    <w:rsid w:val="41AA4BF2"/>
    <w:rsid w:val="41AE7D8C"/>
    <w:rsid w:val="41AF2209"/>
    <w:rsid w:val="41B011C1"/>
    <w:rsid w:val="41B25855"/>
    <w:rsid w:val="41B569E3"/>
    <w:rsid w:val="41B63597"/>
    <w:rsid w:val="41B823B2"/>
    <w:rsid w:val="41B92C02"/>
    <w:rsid w:val="41BD33FC"/>
    <w:rsid w:val="41BE5291"/>
    <w:rsid w:val="41C31810"/>
    <w:rsid w:val="41C34EB6"/>
    <w:rsid w:val="41C51A2C"/>
    <w:rsid w:val="41C95F78"/>
    <w:rsid w:val="41CA0DF1"/>
    <w:rsid w:val="41CC7662"/>
    <w:rsid w:val="41D37CA5"/>
    <w:rsid w:val="41D63C39"/>
    <w:rsid w:val="41D70CB5"/>
    <w:rsid w:val="41D748E9"/>
    <w:rsid w:val="41D852BC"/>
    <w:rsid w:val="41D90676"/>
    <w:rsid w:val="41D91034"/>
    <w:rsid w:val="41DA0DDC"/>
    <w:rsid w:val="41DE664A"/>
    <w:rsid w:val="41DF7049"/>
    <w:rsid w:val="41E111CE"/>
    <w:rsid w:val="41E16229"/>
    <w:rsid w:val="41E21304"/>
    <w:rsid w:val="41E569DA"/>
    <w:rsid w:val="41E66563"/>
    <w:rsid w:val="41E77BF5"/>
    <w:rsid w:val="41E86DA1"/>
    <w:rsid w:val="41EA1493"/>
    <w:rsid w:val="41EA4D51"/>
    <w:rsid w:val="41EE4CD3"/>
    <w:rsid w:val="41F06AA9"/>
    <w:rsid w:val="41F67E38"/>
    <w:rsid w:val="41F71562"/>
    <w:rsid w:val="41FB71FC"/>
    <w:rsid w:val="41FC7697"/>
    <w:rsid w:val="41FE6944"/>
    <w:rsid w:val="42042D87"/>
    <w:rsid w:val="420936C7"/>
    <w:rsid w:val="420F4A55"/>
    <w:rsid w:val="420F516D"/>
    <w:rsid w:val="42116A20"/>
    <w:rsid w:val="42132798"/>
    <w:rsid w:val="42140266"/>
    <w:rsid w:val="4216130A"/>
    <w:rsid w:val="42196BBB"/>
    <w:rsid w:val="42196C84"/>
    <w:rsid w:val="421F738E"/>
    <w:rsid w:val="422211A6"/>
    <w:rsid w:val="42256101"/>
    <w:rsid w:val="42274445"/>
    <w:rsid w:val="422C3859"/>
    <w:rsid w:val="422D323D"/>
    <w:rsid w:val="422E75D1"/>
    <w:rsid w:val="422F0F8D"/>
    <w:rsid w:val="423050F8"/>
    <w:rsid w:val="423746D8"/>
    <w:rsid w:val="42375F12"/>
    <w:rsid w:val="423911B9"/>
    <w:rsid w:val="423B06B5"/>
    <w:rsid w:val="423B584A"/>
    <w:rsid w:val="423D7F3F"/>
    <w:rsid w:val="423E777F"/>
    <w:rsid w:val="423F533B"/>
    <w:rsid w:val="42401351"/>
    <w:rsid w:val="424171FA"/>
    <w:rsid w:val="42417305"/>
    <w:rsid w:val="4248180C"/>
    <w:rsid w:val="4249440B"/>
    <w:rsid w:val="424B1F31"/>
    <w:rsid w:val="424B40BA"/>
    <w:rsid w:val="424D1552"/>
    <w:rsid w:val="424F7CB9"/>
    <w:rsid w:val="425132C0"/>
    <w:rsid w:val="42552DB0"/>
    <w:rsid w:val="425608D6"/>
    <w:rsid w:val="42586A16"/>
    <w:rsid w:val="425B7C9B"/>
    <w:rsid w:val="425C5EED"/>
    <w:rsid w:val="425D7EB7"/>
    <w:rsid w:val="426346BA"/>
    <w:rsid w:val="426404A9"/>
    <w:rsid w:val="42642FF3"/>
    <w:rsid w:val="42660B19"/>
    <w:rsid w:val="42662F59"/>
    <w:rsid w:val="42666D6B"/>
    <w:rsid w:val="426A3716"/>
    <w:rsid w:val="426C006E"/>
    <w:rsid w:val="426E2A27"/>
    <w:rsid w:val="42701C84"/>
    <w:rsid w:val="4272159B"/>
    <w:rsid w:val="42723FBF"/>
    <w:rsid w:val="427743CD"/>
    <w:rsid w:val="427B09F3"/>
    <w:rsid w:val="427D0EF9"/>
    <w:rsid w:val="427F32AD"/>
    <w:rsid w:val="42855E8C"/>
    <w:rsid w:val="42864D18"/>
    <w:rsid w:val="42890CAC"/>
    <w:rsid w:val="42895A25"/>
    <w:rsid w:val="428A2BBD"/>
    <w:rsid w:val="428B4A24"/>
    <w:rsid w:val="429A07C3"/>
    <w:rsid w:val="429A4C67"/>
    <w:rsid w:val="429C0CF7"/>
    <w:rsid w:val="429C453B"/>
    <w:rsid w:val="42A54C01"/>
    <w:rsid w:val="42A81132"/>
    <w:rsid w:val="42A955DC"/>
    <w:rsid w:val="42B07FE6"/>
    <w:rsid w:val="42B21F0C"/>
    <w:rsid w:val="42B23A97"/>
    <w:rsid w:val="42B749AD"/>
    <w:rsid w:val="42BA70B7"/>
    <w:rsid w:val="42BC2E2F"/>
    <w:rsid w:val="42BC6970"/>
    <w:rsid w:val="42BD3408"/>
    <w:rsid w:val="42C27D1A"/>
    <w:rsid w:val="42C37E5F"/>
    <w:rsid w:val="42C91F6D"/>
    <w:rsid w:val="42CD2946"/>
    <w:rsid w:val="42CD367E"/>
    <w:rsid w:val="42CF4BFA"/>
    <w:rsid w:val="42D737C5"/>
    <w:rsid w:val="42DD7C1B"/>
    <w:rsid w:val="42DE0FF8"/>
    <w:rsid w:val="42DE4B54"/>
    <w:rsid w:val="42E01B18"/>
    <w:rsid w:val="42E10C5E"/>
    <w:rsid w:val="42E20147"/>
    <w:rsid w:val="42E303BC"/>
    <w:rsid w:val="42E40679"/>
    <w:rsid w:val="42E42B37"/>
    <w:rsid w:val="42E45EE2"/>
    <w:rsid w:val="42E57C88"/>
    <w:rsid w:val="42E91A76"/>
    <w:rsid w:val="42E9352D"/>
    <w:rsid w:val="42E953BC"/>
    <w:rsid w:val="42EA48E1"/>
    <w:rsid w:val="42EB0CE8"/>
    <w:rsid w:val="42EF4FB3"/>
    <w:rsid w:val="42F60A70"/>
    <w:rsid w:val="42F779C3"/>
    <w:rsid w:val="42FA74B4"/>
    <w:rsid w:val="42FC5355"/>
    <w:rsid w:val="42FC63B2"/>
    <w:rsid w:val="42FD3E0B"/>
    <w:rsid w:val="42FE51F6"/>
    <w:rsid w:val="42FF4201"/>
    <w:rsid w:val="43065E58"/>
    <w:rsid w:val="43076410"/>
    <w:rsid w:val="430D368B"/>
    <w:rsid w:val="430E3882"/>
    <w:rsid w:val="43160791"/>
    <w:rsid w:val="43171E14"/>
    <w:rsid w:val="431966FC"/>
    <w:rsid w:val="43261326"/>
    <w:rsid w:val="43267FAF"/>
    <w:rsid w:val="432A7D99"/>
    <w:rsid w:val="432D155B"/>
    <w:rsid w:val="432F3601"/>
    <w:rsid w:val="43301127"/>
    <w:rsid w:val="43303E58"/>
    <w:rsid w:val="433429C6"/>
    <w:rsid w:val="43365018"/>
    <w:rsid w:val="43386A09"/>
    <w:rsid w:val="43397FDC"/>
    <w:rsid w:val="433B1FA6"/>
    <w:rsid w:val="433C3EB3"/>
    <w:rsid w:val="4343228F"/>
    <w:rsid w:val="43434383"/>
    <w:rsid w:val="434446BE"/>
    <w:rsid w:val="43454BD3"/>
    <w:rsid w:val="434C41B3"/>
    <w:rsid w:val="434D1CD9"/>
    <w:rsid w:val="434D2966"/>
    <w:rsid w:val="435D1730"/>
    <w:rsid w:val="436037BB"/>
    <w:rsid w:val="43687185"/>
    <w:rsid w:val="436E05FA"/>
    <w:rsid w:val="436F037C"/>
    <w:rsid w:val="436F1C50"/>
    <w:rsid w:val="436F5E34"/>
    <w:rsid w:val="437159C8"/>
    <w:rsid w:val="43755A74"/>
    <w:rsid w:val="43776D56"/>
    <w:rsid w:val="438020AF"/>
    <w:rsid w:val="43803E5D"/>
    <w:rsid w:val="43844FFB"/>
    <w:rsid w:val="438576C5"/>
    <w:rsid w:val="438D0328"/>
    <w:rsid w:val="438D657A"/>
    <w:rsid w:val="439128F1"/>
    <w:rsid w:val="4395391D"/>
    <w:rsid w:val="43990B9B"/>
    <w:rsid w:val="43994F1E"/>
    <w:rsid w:val="439C2164"/>
    <w:rsid w:val="439E42E3"/>
    <w:rsid w:val="439E4C2E"/>
    <w:rsid w:val="43A3069B"/>
    <w:rsid w:val="43A35D9D"/>
    <w:rsid w:val="43A54A0B"/>
    <w:rsid w:val="43A75821"/>
    <w:rsid w:val="43A86F10"/>
    <w:rsid w:val="43A956C9"/>
    <w:rsid w:val="43B12268"/>
    <w:rsid w:val="43B20377"/>
    <w:rsid w:val="43B365E4"/>
    <w:rsid w:val="43B41D58"/>
    <w:rsid w:val="43B835F7"/>
    <w:rsid w:val="43B9736F"/>
    <w:rsid w:val="43BD0680"/>
    <w:rsid w:val="43C32CD4"/>
    <w:rsid w:val="43CA157C"/>
    <w:rsid w:val="43CC70A2"/>
    <w:rsid w:val="43CE23F3"/>
    <w:rsid w:val="43CF0940"/>
    <w:rsid w:val="43D052B6"/>
    <w:rsid w:val="43D146B8"/>
    <w:rsid w:val="43D16466"/>
    <w:rsid w:val="43D23F8D"/>
    <w:rsid w:val="43D47C81"/>
    <w:rsid w:val="43DA4440"/>
    <w:rsid w:val="43DA4812"/>
    <w:rsid w:val="43DD433B"/>
    <w:rsid w:val="43E1343F"/>
    <w:rsid w:val="43E4263E"/>
    <w:rsid w:val="43E601AC"/>
    <w:rsid w:val="43E735EE"/>
    <w:rsid w:val="43E769BA"/>
    <w:rsid w:val="43E77A38"/>
    <w:rsid w:val="43E97AFD"/>
    <w:rsid w:val="43EA7528"/>
    <w:rsid w:val="43ED3070"/>
    <w:rsid w:val="43F03412"/>
    <w:rsid w:val="43F1397C"/>
    <w:rsid w:val="43F6411F"/>
    <w:rsid w:val="43FA3C0F"/>
    <w:rsid w:val="43FD54AD"/>
    <w:rsid w:val="43FF1225"/>
    <w:rsid w:val="44000AFA"/>
    <w:rsid w:val="44056110"/>
    <w:rsid w:val="44071E88"/>
    <w:rsid w:val="44094A6A"/>
    <w:rsid w:val="440C56F0"/>
    <w:rsid w:val="440E2ACF"/>
    <w:rsid w:val="440E39EB"/>
    <w:rsid w:val="440F353A"/>
    <w:rsid w:val="441133CA"/>
    <w:rsid w:val="44153672"/>
    <w:rsid w:val="44173130"/>
    <w:rsid w:val="441765C3"/>
    <w:rsid w:val="44184095"/>
    <w:rsid w:val="44191BBB"/>
    <w:rsid w:val="441A601F"/>
    <w:rsid w:val="4422032B"/>
    <w:rsid w:val="4423205F"/>
    <w:rsid w:val="4429503A"/>
    <w:rsid w:val="442A3DC9"/>
    <w:rsid w:val="442D690F"/>
    <w:rsid w:val="443127E2"/>
    <w:rsid w:val="44352E99"/>
    <w:rsid w:val="443640EC"/>
    <w:rsid w:val="44366CBD"/>
    <w:rsid w:val="44383138"/>
    <w:rsid w:val="44384737"/>
    <w:rsid w:val="4439400C"/>
    <w:rsid w:val="443A16C8"/>
    <w:rsid w:val="443B068B"/>
    <w:rsid w:val="443B5FD6"/>
    <w:rsid w:val="443D426D"/>
    <w:rsid w:val="44446C38"/>
    <w:rsid w:val="444E008C"/>
    <w:rsid w:val="444F55DD"/>
    <w:rsid w:val="4450382F"/>
    <w:rsid w:val="445175A7"/>
    <w:rsid w:val="4453331F"/>
    <w:rsid w:val="44562545"/>
    <w:rsid w:val="44582F7E"/>
    <w:rsid w:val="445A2900"/>
    <w:rsid w:val="445A645C"/>
    <w:rsid w:val="445B642E"/>
    <w:rsid w:val="445C6678"/>
    <w:rsid w:val="445D419E"/>
    <w:rsid w:val="44611D22"/>
    <w:rsid w:val="44623562"/>
    <w:rsid w:val="44635B55"/>
    <w:rsid w:val="44692CA3"/>
    <w:rsid w:val="446B68BB"/>
    <w:rsid w:val="446C7AA6"/>
    <w:rsid w:val="44702A10"/>
    <w:rsid w:val="44713000"/>
    <w:rsid w:val="447158E2"/>
    <w:rsid w:val="447436E5"/>
    <w:rsid w:val="44782D86"/>
    <w:rsid w:val="447C5F3F"/>
    <w:rsid w:val="447D039C"/>
    <w:rsid w:val="448226F3"/>
    <w:rsid w:val="44867251"/>
    <w:rsid w:val="448874A3"/>
    <w:rsid w:val="449000D0"/>
    <w:rsid w:val="449104B3"/>
    <w:rsid w:val="44913E48"/>
    <w:rsid w:val="44915BF6"/>
    <w:rsid w:val="449213EC"/>
    <w:rsid w:val="44937BC0"/>
    <w:rsid w:val="44951C56"/>
    <w:rsid w:val="449556E6"/>
    <w:rsid w:val="4498047B"/>
    <w:rsid w:val="449E21ED"/>
    <w:rsid w:val="44A04633"/>
    <w:rsid w:val="44A122DD"/>
    <w:rsid w:val="44A1408B"/>
    <w:rsid w:val="44A75419"/>
    <w:rsid w:val="44A973E3"/>
    <w:rsid w:val="44AC2A30"/>
    <w:rsid w:val="44AE11F2"/>
    <w:rsid w:val="44B02520"/>
    <w:rsid w:val="44B042CE"/>
    <w:rsid w:val="44B318D9"/>
    <w:rsid w:val="44B3525B"/>
    <w:rsid w:val="44BC5D67"/>
    <w:rsid w:val="44C94A67"/>
    <w:rsid w:val="44CD4E80"/>
    <w:rsid w:val="44CE5BB2"/>
    <w:rsid w:val="44D0671E"/>
    <w:rsid w:val="44D658C4"/>
    <w:rsid w:val="44D81A76"/>
    <w:rsid w:val="44DA4136"/>
    <w:rsid w:val="44DA759D"/>
    <w:rsid w:val="44DB3A2D"/>
    <w:rsid w:val="44E26451"/>
    <w:rsid w:val="44E4666D"/>
    <w:rsid w:val="44F06DC0"/>
    <w:rsid w:val="44F20D8A"/>
    <w:rsid w:val="44F436F8"/>
    <w:rsid w:val="44F76B7B"/>
    <w:rsid w:val="44FA2E29"/>
    <w:rsid w:val="44FC65D5"/>
    <w:rsid w:val="4504286C"/>
    <w:rsid w:val="45062140"/>
    <w:rsid w:val="450665E4"/>
    <w:rsid w:val="450A54D3"/>
    <w:rsid w:val="450D34CE"/>
    <w:rsid w:val="450F1C85"/>
    <w:rsid w:val="451231DA"/>
    <w:rsid w:val="45183532"/>
    <w:rsid w:val="451D3AB6"/>
    <w:rsid w:val="452508D3"/>
    <w:rsid w:val="452641C4"/>
    <w:rsid w:val="45286D33"/>
    <w:rsid w:val="452E38BB"/>
    <w:rsid w:val="452F5A50"/>
    <w:rsid w:val="4530540F"/>
    <w:rsid w:val="453E18DA"/>
    <w:rsid w:val="453F3B2A"/>
    <w:rsid w:val="454141D4"/>
    <w:rsid w:val="4545799C"/>
    <w:rsid w:val="45462E84"/>
    <w:rsid w:val="45467F1B"/>
    <w:rsid w:val="4550750E"/>
    <w:rsid w:val="45560523"/>
    <w:rsid w:val="45561A39"/>
    <w:rsid w:val="455D2E28"/>
    <w:rsid w:val="45610764"/>
    <w:rsid w:val="45611A6C"/>
    <w:rsid w:val="45660E30"/>
    <w:rsid w:val="456A4DC4"/>
    <w:rsid w:val="456B7A8E"/>
    <w:rsid w:val="45701E3C"/>
    <w:rsid w:val="45733B31"/>
    <w:rsid w:val="45740942"/>
    <w:rsid w:val="457479F1"/>
    <w:rsid w:val="45772A5A"/>
    <w:rsid w:val="457E2FEE"/>
    <w:rsid w:val="4582210E"/>
    <w:rsid w:val="458662BF"/>
    <w:rsid w:val="458845E5"/>
    <w:rsid w:val="45884E24"/>
    <w:rsid w:val="458A2D71"/>
    <w:rsid w:val="458E276F"/>
    <w:rsid w:val="45954DBC"/>
    <w:rsid w:val="45957555"/>
    <w:rsid w:val="4597723C"/>
    <w:rsid w:val="45977B3E"/>
    <w:rsid w:val="45984502"/>
    <w:rsid w:val="459C7852"/>
    <w:rsid w:val="459D36E4"/>
    <w:rsid w:val="45A04342"/>
    <w:rsid w:val="45A445E1"/>
    <w:rsid w:val="45A813AB"/>
    <w:rsid w:val="45AC450E"/>
    <w:rsid w:val="45AC718B"/>
    <w:rsid w:val="45B25DCB"/>
    <w:rsid w:val="45B26A4B"/>
    <w:rsid w:val="45B61DB8"/>
    <w:rsid w:val="45B72C55"/>
    <w:rsid w:val="45BA3EFC"/>
    <w:rsid w:val="45BB73CE"/>
    <w:rsid w:val="45C1250B"/>
    <w:rsid w:val="45C15EDA"/>
    <w:rsid w:val="45C62011"/>
    <w:rsid w:val="45C80D40"/>
    <w:rsid w:val="45CB18B1"/>
    <w:rsid w:val="45CC15DB"/>
    <w:rsid w:val="45D036EC"/>
    <w:rsid w:val="45D12E46"/>
    <w:rsid w:val="45D264C6"/>
    <w:rsid w:val="45D746D7"/>
    <w:rsid w:val="45D8633D"/>
    <w:rsid w:val="45D93CF8"/>
    <w:rsid w:val="45E0355F"/>
    <w:rsid w:val="45E71F71"/>
    <w:rsid w:val="45EE1552"/>
    <w:rsid w:val="45F12DF0"/>
    <w:rsid w:val="45F428E0"/>
    <w:rsid w:val="45F665AB"/>
    <w:rsid w:val="45F73CC7"/>
    <w:rsid w:val="46020CB8"/>
    <w:rsid w:val="46032B23"/>
    <w:rsid w:val="460348D1"/>
    <w:rsid w:val="4607616F"/>
    <w:rsid w:val="46080139"/>
    <w:rsid w:val="46084993"/>
    <w:rsid w:val="460A3EB2"/>
    <w:rsid w:val="460A5C60"/>
    <w:rsid w:val="460E0C9C"/>
    <w:rsid w:val="46113492"/>
    <w:rsid w:val="46115240"/>
    <w:rsid w:val="46172DAA"/>
    <w:rsid w:val="461940F5"/>
    <w:rsid w:val="46194489"/>
    <w:rsid w:val="46252A99"/>
    <w:rsid w:val="462702C5"/>
    <w:rsid w:val="462907DC"/>
    <w:rsid w:val="462C58A4"/>
    <w:rsid w:val="46315F87"/>
    <w:rsid w:val="46336A6C"/>
    <w:rsid w:val="463475C6"/>
    <w:rsid w:val="46380A1F"/>
    <w:rsid w:val="463A4797"/>
    <w:rsid w:val="464060FB"/>
    <w:rsid w:val="46441E82"/>
    <w:rsid w:val="464473C4"/>
    <w:rsid w:val="464508D5"/>
    <w:rsid w:val="46491241"/>
    <w:rsid w:val="464C54AC"/>
    <w:rsid w:val="464E1FF0"/>
    <w:rsid w:val="465346DC"/>
    <w:rsid w:val="46560EA5"/>
    <w:rsid w:val="465B295F"/>
    <w:rsid w:val="465D66D7"/>
    <w:rsid w:val="46603AD2"/>
    <w:rsid w:val="46663C08"/>
    <w:rsid w:val="46673AB5"/>
    <w:rsid w:val="46690BD8"/>
    <w:rsid w:val="466B2BA2"/>
    <w:rsid w:val="466C2476"/>
    <w:rsid w:val="466E34FE"/>
    <w:rsid w:val="466F21C3"/>
    <w:rsid w:val="46731A57"/>
    <w:rsid w:val="46741CBB"/>
    <w:rsid w:val="4675358A"/>
    <w:rsid w:val="46787EE8"/>
    <w:rsid w:val="468450E5"/>
    <w:rsid w:val="46851ED3"/>
    <w:rsid w:val="468C64C8"/>
    <w:rsid w:val="46905BB4"/>
    <w:rsid w:val="46920B02"/>
    <w:rsid w:val="469320F9"/>
    <w:rsid w:val="469876B5"/>
    <w:rsid w:val="46995E2D"/>
    <w:rsid w:val="469C4B4D"/>
    <w:rsid w:val="469D0882"/>
    <w:rsid w:val="46A02DC8"/>
    <w:rsid w:val="46A165C4"/>
    <w:rsid w:val="46A64D52"/>
    <w:rsid w:val="46AC31BB"/>
    <w:rsid w:val="46AC6D17"/>
    <w:rsid w:val="46B1432D"/>
    <w:rsid w:val="46BC1650"/>
    <w:rsid w:val="46BD0F24"/>
    <w:rsid w:val="46C16C66"/>
    <w:rsid w:val="46C2478C"/>
    <w:rsid w:val="46C6602A"/>
    <w:rsid w:val="46C753E2"/>
    <w:rsid w:val="46C94155"/>
    <w:rsid w:val="46CB4320"/>
    <w:rsid w:val="46CE44B9"/>
    <w:rsid w:val="46CF3795"/>
    <w:rsid w:val="46D41128"/>
    <w:rsid w:val="46D52711"/>
    <w:rsid w:val="46D66E6B"/>
    <w:rsid w:val="46D83FB0"/>
    <w:rsid w:val="46DC1815"/>
    <w:rsid w:val="46DC2498"/>
    <w:rsid w:val="46DD4069"/>
    <w:rsid w:val="46E4385F"/>
    <w:rsid w:val="46E97F6B"/>
    <w:rsid w:val="46EB5A91"/>
    <w:rsid w:val="46EB783F"/>
    <w:rsid w:val="46ED7FD2"/>
    <w:rsid w:val="46EE4786"/>
    <w:rsid w:val="46F000D2"/>
    <w:rsid w:val="46F030A7"/>
    <w:rsid w:val="46F34946"/>
    <w:rsid w:val="46F506BE"/>
    <w:rsid w:val="46FA7D6B"/>
    <w:rsid w:val="46FC3323"/>
    <w:rsid w:val="46FD7882"/>
    <w:rsid w:val="46FF102C"/>
    <w:rsid w:val="470703F1"/>
    <w:rsid w:val="47094169"/>
    <w:rsid w:val="470B1C8F"/>
    <w:rsid w:val="470C526B"/>
    <w:rsid w:val="470F240B"/>
    <w:rsid w:val="471057A1"/>
    <w:rsid w:val="47115080"/>
    <w:rsid w:val="47150D60"/>
    <w:rsid w:val="47177FE7"/>
    <w:rsid w:val="471C20EE"/>
    <w:rsid w:val="4728079F"/>
    <w:rsid w:val="47280A93"/>
    <w:rsid w:val="47307948"/>
    <w:rsid w:val="4733772F"/>
    <w:rsid w:val="47376F28"/>
    <w:rsid w:val="473F7677"/>
    <w:rsid w:val="47434B02"/>
    <w:rsid w:val="474447E8"/>
    <w:rsid w:val="47486A40"/>
    <w:rsid w:val="47497725"/>
    <w:rsid w:val="474D4056"/>
    <w:rsid w:val="47520928"/>
    <w:rsid w:val="47521BE9"/>
    <w:rsid w:val="47546C80"/>
    <w:rsid w:val="47574ED5"/>
    <w:rsid w:val="47590C4D"/>
    <w:rsid w:val="475A2ACE"/>
    <w:rsid w:val="475A49C5"/>
    <w:rsid w:val="475C4911"/>
    <w:rsid w:val="475E48C6"/>
    <w:rsid w:val="475F71FF"/>
    <w:rsid w:val="4760647F"/>
    <w:rsid w:val="47655050"/>
    <w:rsid w:val="47677085"/>
    <w:rsid w:val="476B2D31"/>
    <w:rsid w:val="476D1B91"/>
    <w:rsid w:val="476D39CC"/>
    <w:rsid w:val="476F0470"/>
    <w:rsid w:val="477041E8"/>
    <w:rsid w:val="47794E4B"/>
    <w:rsid w:val="477A6E15"/>
    <w:rsid w:val="477B77F0"/>
    <w:rsid w:val="477E06B3"/>
    <w:rsid w:val="477E6905"/>
    <w:rsid w:val="47801562"/>
    <w:rsid w:val="478060F5"/>
    <w:rsid w:val="478364D6"/>
    <w:rsid w:val="47881532"/>
    <w:rsid w:val="47905A6E"/>
    <w:rsid w:val="479156C5"/>
    <w:rsid w:val="47923502"/>
    <w:rsid w:val="47951367"/>
    <w:rsid w:val="479738E7"/>
    <w:rsid w:val="479779C7"/>
    <w:rsid w:val="479B30C4"/>
    <w:rsid w:val="479F672B"/>
    <w:rsid w:val="47A10049"/>
    <w:rsid w:val="47A112C4"/>
    <w:rsid w:val="47A60E8E"/>
    <w:rsid w:val="47AC3472"/>
    <w:rsid w:val="47AD71EA"/>
    <w:rsid w:val="47AD788C"/>
    <w:rsid w:val="47B02837"/>
    <w:rsid w:val="47B14B6A"/>
    <w:rsid w:val="47B16CDB"/>
    <w:rsid w:val="47B26AE0"/>
    <w:rsid w:val="47B35534"/>
    <w:rsid w:val="47B40579"/>
    <w:rsid w:val="47B705CB"/>
    <w:rsid w:val="47BA1077"/>
    <w:rsid w:val="47C00CCC"/>
    <w:rsid w:val="47C421B2"/>
    <w:rsid w:val="47C8374D"/>
    <w:rsid w:val="47CB7671"/>
    <w:rsid w:val="47CC58C3"/>
    <w:rsid w:val="47CD4126"/>
    <w:rsid w:val="47CF7161"/>
    <w:rsid w:val="47D20E71"/>
    <w:rsid w:val="47D46525"/>
    <w:rsid w:val="47D6098A"/>
    <w:rsid w:val="47D77D01"/>
    <w:rsid w:val="47D91D8D"/>
    <w:rsid w:val="47DA3B64"/>
    <w:rsid w:val="47DE55F6"/>
    <w:rsid w:val="47DF7717"/>
    <w:rsid w:val="47E250E6"/>
    <w:rsid w:val="47E744AA"/>
    <w:rsid w:val="47EA0986"/>
    <w:rsid w:val="47EA3F9B"/>
    <w:rsid w:val="47EA66F4"/>
    <w:rsid w:val="47EB0D8B"/>
    <w:rsid w:val="47EF1057"/>
    <w:rsid w:val="47F20291"/>
    <w:rsid w:val="47F25F35"/>
    <w:rsid w:val="47F60B91"/>
    <w:rsid w:val="47F646ED"/>
    <w:rsid w:val="47FE7A46"/>
    <w:rsid w:val="480212E4"/>
    <w:rsid w:val="48052B82"/>
    <w:rsid w:val="48065BC2"/>
    <w:rsid w:val="480C05A2"/>
    <w:rsid w:val="480E5EDB"/>
    <w:rsid w:val="481110FB"/>
    <w:rsid w:val="481132D5"/>
    <w:rsid w:val="48141018"/>
    <w:rsid w:val="481E3C44"/>
    <w:rsid w:val="481E59F2"/>
    <w:rsid w:val="48217291"/>
    <w:rsid w:val="4821732C"/>
    <w:rsid w:val="48221986"/>
    <w:rsid w:val="48270D4B"/>
    <w:rsid w:val="48286871"/>
    <w:rsid w:val="4829646F"/>
    <w:rsid w:val="48297D90"/>
    <w:rsid w:val="482B6361"/>
    <w:rsid w:val="48315726"/>
    <w:rsid w:val="48322FDB"/>
    <w:rsid w:val="483244C2"/>
    <w:rsid w:val="4832775E"/>
    <w:rsid w:val="48345216"/>
    <w:rsid w:val="48374729"/>
    <w:rsid w:val="483777CA"/>
    <w:rsid w:val="48484E52"/>
    <w:rsid w:val="4849192D"/>
    <w:rsid w:val="484C07B1"/>
    <w:rsid w:val="484E7228"/>
    <w:rsid w:val="48515DC8"/>
    <w:rsid w:val="485301B3"/>
    <w:rsid w:val="485458B8"/>
    <w:rsid w:val="485B1224"/>
    <w:rsid w:val="485B27FD"/>
    <w:rsid w:val="485B6CDB"/>
    <w:rsid w:val="485D651B"/>
    <w:rsid w:val="485E2293"/>
    <w:rsid w:val="485F01F2"/>
    <w:rsid w:val="4860425D"/>
    <w:rsid w:val="48617256"/>
    <w:rsid w:val="48652586"/>
    <w:rsid w:val="48653621"/>
    <w:rsid w:val="48673685"/>
    <w:rsid w:val="486C0E54"/>
    <w:rsid w:val="486C4563"/>
    <w:rsid w:val="486E697A"/>
    <w:rsid w:val="486F44A0"/>
    <w:rsid w:val="48733F90"/>
    <w:rsid w:val="487570F2"/>
    <w:rsid w:val="48787B8E"/>
    <w:rsid w:val="487A531F"/>
    <w:rsid w:val="487F75A9"/>
    <w:rsid w:val="4880045B"/>
    <w:rsid w:val="4886014F"/>
    <w:rsid w:val="48897310"/>
    <w:rsid w:val="488A3088"/>
    <w:rsid w:val="488C5052"/>
    <w:rsid w:val="488D341A"/>
    <w:rsid w:val="48905F2C"/>
    <w:rsid w:val="48931F3C"/>
    <w:rsid w:val="489675A2"/>
    <w:rsid w:val="48967C7F"/>
    <w:rsid w:val="489751D3"/>
    <w:rsid w:val="489A40F3"/>
    <w:rsid w:val="489B7043"/>
    <w:rsid w:val="489B7854"/>
    <w:rsid w:val="48A203D1"/>
    <w:rsid w:val="48A405ED"/>
    <w:rsid w:val="48A64365"/>
    <w:rsid w:val="48B30830"/>
    <w:rsid w:val="48C37CC6"/>
    <w:rsid w:val="48C540C0"/>
    <w:rsid w:val="48C86DFF"/>
    <w:rsid w:val="48C93B11"/>
    <w:rsid w:val="48CC6C09"/>
    <w:rsid w:val="48D12A65"/>
    <w:rsid w:val="48D20056"/>
    <w:rsid w:val="48E46798"/>
    <w:rsid w:val="48E704DA"/>
    <w:rsid w:val="48E72288"/>
    <w:rsid w:val="48EB0BF1"/>
    <w:rsid w:val="48EC789E"/>
    <w:rsid w:val="48F055E1"/>
    <w:rsid w:val="48F14EB5"/>
    <w:rsid w:val="48F549A5"/>
    <w:rsid w:val="48F63184"/>
    <w:rsid w:val="48F86243"/>
    <w:rsid w:val="48FA3736"/>
    <w:rsid w:val="49047674"/>
    <w:rsid w:val="49080B7C"/>
    <w:rsid w:val="490E5A67"/>
    <w:rsid w:val="4910358D"/>
    <w:rsid w:val="4913307D"/>
    <w:rsid w:val="49144E77"/>
    <w:rsid w:val="49153299"/>
    <w:rsid w:val="4916491B"/>
    <w:rsid w:val="49177011"/>
    <w:rsid w:val="491A265E"/>
    <w:rsid w:val="491C63D6"/>
    <w:rsid w:val="49203F9B"/>
    <w:rsid w:val="49285EBE"/>
    <w:rsid w:val="49296D45"/>
    <w:rsid w:val="492A385B"/>
    <w:rsid w:val="49311708"/>
    <w:rsid w:val="49314D9A"/>
    <w:rsid w:val="493A4AAE"/>
    <w:rsid w:val="493C685D"/>
    <w:rsid w:val="49404145"/>
    <w:rsid w:val="49431BB4"/>
    <w:rsid w:val="49456FB3"/>
    <w:rsid w:val="494724F8"/>
    <w:rsid w:val="494B3812"/>
    <w:rsid w:val="495042D1"/>
    <w:rsid w:val="495518E8"/>
    <w:rsid w:val="49553696"/>
    <w:rsid w:val="49555444"/>
    <w:rsid w:val="49562BAB"/>
    <w:rsid w:val="49581C51"/>
    <w:rsid w:val="495A51F3"/>
    <w:rsid w:val="495A72F9"/>
    <w:rsid w:val="496174D0"/>
    <w:rsid w:val="496460B1"/>
    <w:rsid w:val="496B2EB9"/>
    <w:rsid w:val="496B398E"/>
    <w:rsid w:val="496D6C31"/>
    <w:rsid w:val="49706721"/>
    <w:rsid w:val="49715F88"/>
    <w:rsid w:val="49747FC0"/>
    <w:rsid w:val="497A134E"/>
    <w:rsid w:val="497C70A9"/>
    <w:rsid w:val="497D7EC3"/>
    <w:rsid w:val="497E5570"/>
    <w:rsid w:val="49830203"/>
    <w:rsid w:val="49830438"/>
    <w:rsid w:val="49845D29"/>
    <w:rsid w:val="49885819"/>
    <w:rsid w:val="4989189A"/>
    <w:rsid w:val="498E392B"/>
    <w:rsid w:val="498F4DFA"/>
    <w:rsid w:val="499410ED"/>
    <w:rsid w:val="499441BE"/>
    <w:rsid w:val="4995520C"/>
    <w:rsid w:val="49A34BDC"/>
    <w:rsid w:val="49A81A17"/>
    <w:rsid w:val="49A8294B"/>
    <w:rsid w:val="49A87D57"/>
    <w:rsid w:val="49AE7010"/>
    <w:rsid w:val="49B20AE8"/>
    <w:rsid w:val="49B27663"/>
    <w:rsid w:val="49B42429"/>
    <w:rsid w:val="49B503C3"/>
    <w:rsid w:val="49B91DF3"/>
    <w:rsid w:val="49BE123B"/>
    <w:rsid w:val="49BE748D"/>
    <w:rsid w:val="49C16F7D"/>
    <w:rsid w:val="49C34AA3"/>
    <w:rsid w:val="49C83E68"/>
    <w:rsid w:val="49CB5506"/>
    <w:rsid w:val="49CE3D13"/>
    <w:rsid w:val="49D7054F"/>
    <w:rsid w:val="49D722FD"/>
    <w:rsid w:val="49D82FAF"/>
    <w:rsid w:val="49DB1DED"/>
    <w:rsid w:val="49DB4ABE"/>
    <w:rsid w:val="49E113CD"/>
    <w:rsid w:val="49E119A8"/>
    <w:rsid w:val="49E14F29"/>
    <w:rsid w:val="49E60786"/>
    <w:rsid w:val="49E862B8"/>
    <w:rsid w:val="49E94147"/>
    <w:rsid w:val="49EB1754"/>
    <w:rsid w:val="49F41101"/>
    <w:rsid w:val="49F562AD"/>
    <w:rsid w:val="49F96717"/>
    <w:rsid w:val="49FA5FEB"/>
    <w:rsid w:val="49FB423D"/>
    <w:rsid w:val="49FE1F7F"/>
    <w:rsid w:val="4A005CD9"/>
    <w:rsid w:val="4A02381D"/>
    <w:rsid w:val="4A042B96"/>
    <w:rsid w:val="4A060802"/>
    <w:rsid w:val="4A0A4260"/>
    <w:rsid w:val="4A0A7544"/>
    <w:rsid w:val="4A0B0B6D"/>
    <w:rsid w:val="4A0B1FA6"/>
    <w:rsid w:val="4A0C644A"/>
    <w:rsid w:val="4A0D5E02"/>
    <w:rsid w:val="4A0D7AE9"/>
    <w:rsid w:val="4A0F1A96"/>
    <w:rsid w:val="4A1059A1"/>
    <w:rsid w:val="4A1063CE"/>
    <w:rsid w:val="4A11580F"/>
    <w:rsid w:val="4A143D56"/>
    <w:rsid w:val="4A1452FF"/>
    <w:rsid w:val="4A156F01"/>
    <w:rsid w:val="4A157D1B"/>
    <w:rsid w:val="4A161077"/>
    <w:rsid w:val="4A1B4FE6"/>
    <w:rsid w:val="4A1E3F87"/>
    <w:rsid w:val="4A1F6116"/>
    <w:rsid w:val="4A2229E8"/>
    <w:rsid w:val="4A237F30"/>
    <w:rsid w:val="4A266DE0"/>
    <w:rsid w:val="4A3236BC"/>
    <w:rsid w:val="4A3414FD"/>
    <w:rsid w:val="4A3C6604"/>
    <w:rsid w:val="4A4060F4"/>
    <w:rsid w:val="4A410A45"/>
    <w:rsid w:val="4A422570"/>
    <w:rsid w:val="4A431740"/>
    <w:rsid w:val="4A4543C6"/>
    <w:rsid w:val="4A471230"/>
    <w:rsid w:val="4A477482"/>
    <w:rsid w:val="4A495D52"/>
    <w:rsid w:val="4A4E6A63"/>
    <w:rsid w:val="4A4F27DB"/>
    <w:rsid w:val="4A4F36F5"/>
    <w:rsid w:val="4A506668"/>
    <w:rsid w:val="4A507296"/>
    <w:rsid w:val="4A513E5D"/>
    <w:rsid w:val="4A516994"/>
    <w:rsid w:val="4A530323"/>
    <w:rsid w:val="4A582F7F"/>
    <w:rsid w:val="4A595056"/>
    <w:rsid w:val="4A5E2A1E"/>
    <w:rsid w:val="4A5F26D2"/>
    <w:rsid w:val="4A69564B"/>
    <w:rsid w:val="4A6C6EE9"/>
    <w:rsid w:val="4A6F1B6C"/>
    <w:rsid w:val="4A6F2AC4"/>
    <w:rsid w:val="4A7144FF"/>
    <w:rsid w:val="4A791606"/>
    <w:rsid w:val="4A7933B4"/>
    <w:rsid w:val="4A7B35D0"/>
    <w:rsid w:val="4A7D10F6"/>
    <w:rsid w:val="4A7E276F"/>
    <w:rsid w:val="4A851D59"/>
    <w:rsid w:val="4A876A56"/>
    <w:rsid w:val="4A8A736F"/>
    <w:rsid w:val="4A8A7B79"/>
    <w:rsid w:val="4A8C219C"/>
    <w:rsid w:val="4A8D175A"/>
    <w:rsid w:val="4A8D1FE6"/>
    <w:rsid w:val="4A903ADF"/>
    <w:rsid w:val="4A9621B8"/>
    <w:rsid w:val="4A9800BE"/>
    <w:rsid w:val="4A993A56"/>
    <w:rsid w:val="4AA62FE3"/>
    <w:rsid w:val="4AA7341E"/>
    <w:rsid w:val="4AA77F21"/>
    <w:rsid w:val="4AAA7A11"/>
    <w:rsid w:val="4AAE79C0"/>
    <w:rsid w:val="4AB12B4E"/>
    <w:rsid w:val="4AB43DE7"/>
    <w:rsid w:val="4AB47927"/>
    <w:rsid w:val="4AB7046D"/>
    <w:rsid w:val="4AB7483D"/>
    <w:rsid w:val="4AB75F76"/>
    <w:rsid w:val="4AC1576B"/>
    <w:rsid w:val="4AC16767"/>
    <w:rsid w:val="4AC45FBE"/>
    <w:rsid w:val="4AC565F9"/>
    <w:rsid w:val="4AC7411F"/>
    <w:rsid w:val="4AC960E9"/>
    <w:rsid w:val="4ACC6C89"/>
    <w:rsid w:val="4AD535D1"/>
    <w:rsid w:val="4AD61BC4"/>
    <w:rsid w:val="4AD625B4"/>
    <w:rsid w:val="4AD64AE0"/>
    <w:rsid w:val="4AD74352"/>
    <w:rsid w:val="4AE4133A"/>
    <w:rsid w:val="4AE526E3"/>
    <w:rsid w:val="4AEC1DD8"/>
    <w:rsid w:val="4AEE11E0"/>
    <w:rsid w:val="4AF105BB"/>
    <w:rsid w:val="4AF33166"/>
    <w:rsid w:val="4AF40C8C"/>
    <w:rsid w:val="4AF77225"/>
    <w:rsid w:val="4AFA2747"/>
    <w:rsid w:val="4B0735C9"/>
    <w:rsid w:val="4B0A4A82"/>
    <w:rsid w:val="4B0E1D4E"/>
    <w:rsid w:val="4B18665E"/>
    <w:rsid w:val="4B1A0514"/>
    <w:rsid w:val="4B1B735F"/>
    <w:rsid w:val="4B1F03FF"/>
    <w:rsid w:val="4B2006E5"/>
    <w:rsid w:val="4B217CD3"/>
    <w:rsid w:val="4B226BBF"/>
    <w:rsid w:val="4B257098"/>
    <w:rsid w:val="4B257E5A"/>
    <w:rsid w:val="4B2751B2"/>
    <w:rsid w:val="4B2D09CB"/>
    <w:rsid w:val="4B307F16"/>
    <w:rsid w:val="4B3240B3"/>
    <w:rsid w:val="4B3544BD"/>
    <w:rsid w:val="4B3612A5"/>
    <w:rsid w:val="4B3D4425"/>
    <w:rsid w:val="4B3F45FD"/>
    <w:rsid w:val="4B3F63AB"/>
    <w:rsid w:val="4B407D12"/>
    <w:rsid w:val="4B455725"/>
    <w:rsid w:val="4B4A79AF"/>
    <w:rsid w:val="4B591900"/>
    <w:rsid w:val="4B5A1437"/>
    <w:rsid w:val="4B5C6C70"/>
    <w:rsid w:val="4B5D6832"/>
    <w:rsid w:val="4B5E27BB"/>
    <w:rsid w:val="4B626FF1"/>
    <w:rsid w:val="4B63341F"/>
    <w:rsid w:val="4B6B71A0"/>
    <w:rsid w:val="4B6C3116"/>
    <w:rsid w:val="4B6F4854"/>
    <w:rsid w:val="4B714331"/>
    <w:rsid w:val="4B784BAB"/>
    <w:rsid w:val="4B787A3F"/>
    <w:rsid w:val="4B797B0F"/>
    <w:rsid w:val="4B7A5635"/>
    <w:rsid w:val="4B7F6B5E"/>
    <w:rsid w:val="4B83098E"/>
    <w:rsid w:val="4B8E0947"/>
    <w:rsid w:val="4B9304A5"/>
    <w:rsid w:val="4B97466D"/>
    <w:rsid w:val="4B9A4C52"/>
    <w:rsid w:val="4B9F6E4A"/>
    <w:rsid w:val="4BAB57EF"/>
    <w:rsid w:val="4BAD7C0A"/>
    <w:rsid w:val="4BAF1783"/>
    <w:rsid w:val="4BB24DCF"/>
    <w:rsid w:val="4BB64B5D"/>
    <w:rsid w:val="4BB85574"/>
    <w:rsid w:val="4BB86CCB"/>
    <w:rsid w:val="4BBC5046"/>
    <w:rsid w:val="4BBC5C4E"/>
    <w:rsid w:val="4BBF74EC"/>
    <w:rsid w:val="4BC01555"/>
    <w:rsid w:val="4BC32230"/>
    <w:rsid w:val="4BC345EB"/>
    <w:rsid w:val="4BC468B1"/>
    <w:rsid w:val="4BC66B09"/>
    <w:rsid w:val="4BC863A1"/>
    <w:rsid w:val="4BC879CC"/>
    <w:rsid w:val="4BCC6947"/>
    <w:rsid w:val="4BCE14DD"/>
    <w:rsid w:val="4BCE6ED7"/>
    <w:rsid w:val="4BD50ABE"/>
    <w:rsid w:val="4BD72A88"/>
    <w:rsid w:val="4BDC009E"/>
    <w:rsid w:val="4BDC1E4C"/>
    <w:rsid w:val="4BDC3BFA"/>
    <w:rsid w:val="4BDD61C3"/>
    <w:rsid w:val="4BDF193C"/>
    <w:rsid w:val="4BE05B04"/>
    <w:rsid w:val="4BE10A59"/>
    <w:rsid w:val="4BE11211"/>
    <w:rsid w:val="4BE551A5"/>
    <w:rsid w:val="4BEF1B80"/>
    <w:rsid w:val="4BF4363A"/>
    <w:rsid w:val="4BF65692"/>
    <w:rsid w:val="4BF65B0C"/>
    <w:rsid w:val="4BF76C86"/>
    <w:rsid w:val="4BFB49C8"/>
    <w:rsid w:val="4BFC429C"/>
    <w:rsid w:val="4BFD4B47"/>
    <w:rsid w:val="4BFE26DE"/>
    <w:rsid w:val="4BFE5D3C"/>
    <w:rsid w:val="4C0A0767"/>
    <w:rsid w:val="4C0D4452"/>
    <w:rsid w:val="4C100A3E"/>
    <w:rsid w:val="4C10198D"/>
    <w:rsid w:val="4C101AF6"/>
    <w:rsid w:val="4C124959"/>
    <w:rsid w:val="4C1C0D1A"/>
    <w:rsid w:val="4C1C66ED"/>
    <w:rsid w:val="4C1E4213"/>
    <w:rsid w:val="4C2757BD"/>
    <w:rsid w:val="4C2832E3"/>
    <w:rsid w:val="4C294CD7"/>
    <w:rsid w:val="4C2D4456"/>
    <w:rsid w:val="4C2E255A"/>
    <w:rsid w:val="4C2E790B"/>
    <w:rsid w:val="4C312198"/>
    <w:rsid w:val="4C3604B4"/>
    <w:rsid w:val="4C3C0B3D"/>
    <w:rsid w:val="4C3E6427"/>
    <w:rsid w:val="4C3F755B"/>
    <w:rsid w:val="4C404189"/>
    <w:rsid w:val="4C407DF8"/>
    <w:rsid w:val="4C431ECB"/>
    <w:rsid w:val="4C4579F1"/>
    <w:rsid w:val="4C486BB6"/>
    <w:rsid w:val="4C4C13DC"/>
    <w:rsid w:val="4C4C5224"/>
    <w:rsid w:val="4C4D53AE"/>
    <w:rsid w:val="4C4F15F1"/>
    <w:rsid w:val="4C51283A"/>
    <w:rsid w:val="4C5145E8"/>
    <w:rsid w:val="4C520F1C"/>
    <w:rsid w:val="4C52210E"/>
    <w:rsid w:val="4C5405D8"/>
    <w:rsid w:val="4C54511D"/>
    <w:rsid w:val="4C54690F"/>
    <w:rsid w:val="4C547C35"/>
    <w:rsid w:val="4C5C4D3B"/>
    <w:rsid w:val="4C60482B"/>
    <w:rsid w:val="4C6111C2"/>
    <w:rsid w:val="4C6528C3"/>
    <w:rsid w:val="4C681391"/>
    <w:rsid w:val="4C681932"/>
    <w:rsid w:val="4C6D519A"/>
    <w:rsid w:val="4C722884"/>
    <w:rsid w:val="4C726D60"/>
    <w:rsid w:val="4C755315"/>
    <w:rsid w:val="4C793B3F"/>
    <w:rsid w:val="4C7B3413"/>
    <w:rsid w:val="4C7B78B7"/>
    <w:rsid w:val="4C7D7030"/>
    <w:rsid w:val="4C83676C"/>
    <w:rsid w:val="4C867D7C"/>
    <w:rsid w:val="4C891FD4"/>
    <w:rsid w:val="4C892DE6"/>
    <w:rsid w:val="4C9013CE"/>
    <w:rsid w:val="4C921698"/>
    <w:rsid w:val="4C9646F1"/>
    <w:rsid w:val="4C9826DD"/>
    <w:rsid w:val="4C9B1D07"/>
    <w:rsid w:val="4C9E5354"/>
    <w:rsid w:val="4C9E5360"/>
    <w:rsid w:val="4CA52920"/>
    <w:rsid w:val="4CA5386E"/>
    <w:rsid w:val="4CA7245A"/>
    <w:rsid w:val="4CA87F80"/>
    <w:rsid w:val="4CA94424"/>
    <w:rsid w:val="4CAC7A71"/>
    <w:rsid w:val="4CB30DFF"/>
    <w:rsid w:val="4CB6269D"/>
    <w:rsid w:val="4CBB688C"/>
    <w:rsid w:val="4CBC1582"/>
    <w:rsid w:val="4CBE6819"/>
    <w:rsid w:val="4CBE77A4"/>
    <w:rsid w:val="4CC0208A"/>
    <w:rsid w:val="4CC052CA"/>
    <w:rsid w:val="4CC108A9"/>
    <w:rsid w:val="4CC24137"/>
    <w:rsid w:val="4CC3195D"/>
    <w:rsid w:val="4CC36B68"/>
    <w:rsid w:val="4CCB5CF0"/>
    <w:rsid w:val="4CCD5E83"/>
    <w:rsid w:val="4CD15729"/>
    <w:rsid w:val="4CD6689C"/>
    <w:rsid w:val="4CD75D41"/>
    <w:rsid w:val="4CD86AB8"/>
    <w:rsid w:val="4CD87ED1"/>
    <w:rsid w:val="4CD9638C"/>
    <w:rsid w:val="4CDD5E7C"/>
    <w:rsid w:val="4CE27B44"/>
    <w:rsid w:val="4CE74F4D"/>
    <w:rsid w:val="4CEB4DF7"/>
    <w:rsid w:val="4CEC2563"/>
    <w:rsid w:val="4CEF245C"/>
    <w:rsid w:val="4CF65190"/>
    <w:rsid w:val="4CF80F08"/>
    <w:rsid w:val="4CF82B9B"/>
    <w:rsid w:val="4CFF4044"/>
    <w:rsid w:val="4D057181"/>
    <w:rsid w:val="4D066599"/>
    <w:rsid w:val="4D094EC3"/>
    <w:rsid w:val="4D0B0C3B"/>
    <w:rsid w:val="4D0C6761"/>
    <w:rsid w:val="4D0E1E67"/>
    <w:rsid w:val="4D0F3528"/>
    <w:rsid w:val="4D0F5EA3"/>
    <w:rsid w:val="4D186EB4"/>
    <w:rsid w:val="4D1A0E7E"/>
    <w:rsid w:val="4D1A26A7"/>
    <w:rsid w:val="4D1D271C"/>
    <w:rsid w:val="4D201FD7"/>
    <w:rsid w:val="4D223028"/>
    <w:rsid w:val="4D245859"/>
    <w:rsid w:val="4D277A78"/>
    <w:rsid w:val="4D2B4E39"/>
    <w:rsid w:val="4D2E66D8"/>
    <w:rsid w:val="4D3161C8"/>
    <w:rsid w:val="4D322BAA"/>
    <w:rsid w:val="4D3335ED"/>
    <w:rsid w:val="4D341814"/>
    <w:rsid w:val="4D3A1520"/>
    <w:rsid w:val="4D3A5CC6"/>
    <w:rsid w:val="4D3C597F"/>
    <w:rsid w:val="4D3D41B0"/>
    <w:rsid w:val="4D3D691B"/>
    <w:rsid w:val="4D4363C0"/>
    <w:rsid w:val="4D445EFB"/>
    <w:rsid w:val="4D455430"/>
    <w:rsid w:val="4D4E6D7A"/>
    <w:rsid w:val="4D4F5852"/>
    <w:rsid w:val="4D52686A"/>
    <w:rsid w:val="4D534B94"/>
    <w:rsid w:val="4D543701"/>
    <w:rsid w:val="4D545C59"/>
    <w:rsid w:val="4D551EB6"/>
    <w:rsid w:val="4D560112"/>
    <w:rsid w:val="4D58092E"/>
    <w:rsid w:val="4D583754"/>
    <w:rsid w:val="4D5C310F"/>
    <w:rsid w:val="4D5C332B"/>
    <w:rsid w:val="4D5D520F"/>
    <w:rsid w:val="4D5F0F87"/>
    <w:rsid w:val="4D64659D"/>
    <w:rsid w:val="4D665026"/>
    <w:rsid w:val="4D693B73"/>
    <w:rsid w:val="4D6E6A5E"/>
    <w:rsid w:val="4D714816"/>
    <w:rsid w:val="4D7447F7"/>
    <w:rsid w:val="4D7D140D"/>
    <w:rsid w:val="4D7E3D3A"/>
    <w:rsid w:val="4D812262"/>
    <w:rsid w:val="4D87403A"/>
    <w:rsid w:val="4D875DE8"/>
    <w:rsid w:val="4D896004"/>
    <w:rsid w:val="4D8B5B0D"/>
    <w:rsid w:val="4D8D7A93"/>
    <w:rsid w:val="4D925D8E"/>
    <w:rsid w:val="4D9512C6"/>
    <w:rsid w:val="4D966842"/>
    <w:rsid w:val="4D9724CF"/>
    <w:rsid w:val="4D9D0A83"/>
    <w:rsid w:val="4DA1334D"/>
    <w:rsid w:val="4DA23822"/>
    <w:rsid w:val="4DA5343B"/>
    <w:rsid w:val="4DA93FB0"/>
    <w:rsid w:val="4DAB7D28"/>
    <w:rsid w:val="4DAD1D19"/>
    <w:rsid w:val="4DAE7818"/>
    <w:rsid w:val="4DB61CC2"/>
    <w:rsid w:val="4DB84313"/>
    <w:rsid w:val="4DB924F6"/>
    <w:rsid w:val="4DBB2012"/>
    <w:rsid w:val="4DBC2102"/>
    <w:rsid w:val="4DBD215C"/>
    <w:rsid w:val="4DBF37D4"/>
    <w:rsid w:val="4DBF5232"/>
    <w:rsid w:val="4DC21ABB"/>
    <w:rsid w:val="4DC25072"/>
    <w:rsid w:val="4DC42B98"/>
    <w:rsid w:val="4DC71375"/>
    <w:rsid w:val="4DC86B2C"/>
    <w:rsid w:val="4DC92B7A"/>
    <w:rsid w:val="4DCE3A17"/>
    <w:rsid w:val="4DD311EA"/>
    <w:rsid w:val="4DD86643"/>
    <w:rsid w:val="4DDA23BB"/>
    <w:rsid w:val="4DE44FE8"/>
    <w:rsid w:val="4DE66FB2"/>
    <w:rsid w:val="4DE82D2A"/>
    <w:rsid w:val="4DED2FB5"/>
    <w:rsid w:val="4DF06B51"/>
    <w:rsid w:val="4DF218C5"/>
    <w:rsid w:val="4DF5709E"/>
    <w:rsid w:val="4DF571F5"/>
    <w:rsid w:val="4DF80A94"/>
    <w:rsid w:val="4DF84F73"/>
    <w:rsid w:val="4E0134C3"/>
    <w:rsid w:val="4E017F9B"/>
    <w:rsid w:val="4E0336C0"/>
    <w:rsid w:val="4E04568A"/>
    <w:rsid w:val="4E0559F7"/>
    <w:rsid w:val="4E055CD0"/>
    <w:rsid w:val="4E073C92"/>
    <w:rsid w:val="4E0830BF"/>
    <w:rsid w:val="4E08517B"/>
    <w:rsid w:val="4E0B41FA"/>
    <w:rsid w:val="4E0D09E3"/>
    <w:rsid w:val="4E102185"/>
    <w:rsid w:val="4E105835"/>
    <w:rsid w:val="4E115F4C"/>
    <w:rsid w:val="4E1842B0"/>
    <w:rsid w:val="4E1D74E5"/>
    <w:rsid w:val="4E1E04FA"/>
    <w:rsid w:val="4E1F24C4"/>
    <w:rsid w:val="4E2009B9"/>
    <w:rsid w:val="4E2A3343"/>
    <w:rsid w:val="4E2B73D2"/>
    <w:rsid w:val="4E2D1D8D"/>
    <w:rsid w:val="4E307B7D"/>
    <w:rsid w:val="4E341CC8"/>
    <w:rsid w:val="4E41068C"/>
    <w:rsid w:val="4E473098"/>
    <w:rsid w:val="4E481A1B"/>
    <w:rsid w:val="4E481E04"/>
    <w:rsid w:val="4E515DC4"/>
    <w:rsid w:val="4E516B22"/>
    <w:rsid w:val="4E5403C0"/>
    <w:rsid w:val="4E576029"/>
    <w:rsid w:val="4E593C28"/>
    <w:rsid w:val="4E5E2FEC"/>
    <w:rsid w:val="4E652928"/>
    <w:rsid w:val="4E654DB7"/>
    <w:rsid w:val="4E67043A"/>
    <w:rsid w:val="4E6A373F"/>
    <w:rsid w:val="4E710F72"/>
    <w:rsid w:val="4E7B76FB"/>
    <w:rsid w:val="4E7D4DEB"/>
    <w:rsid w:val="4E807407"/>
    <w:rsid w:val="4E854A1D"/>
    <w:rsid w:val="4E862106"/>
    <w:rsid w:val="4E8C7B5A"/>
    <w:rsid w:val="4E8D550C"/>
    <w:rsid w:val="4E8F59E5"/>
    <w:rsid w:val="4E913AC8"/>
    <w:rsid w:val="4E9F41DC"/>
    <w:rsid w:val="4EA73BC3"/>
    <w:rsid w:val="4EA824BA"/>
    <w:rsid w:val="4EAA18FF"/>
    <w:rsid w:val="4EAC7BB2"/>
    <w:rsid w:val="4EAD187E"/>
    <w:rsid w:val="4EAD1B4A"/>
    <w:rsid w:val="4EAD7AD0"/>
    <w:rsid w:val="4EAF7709"/>
    <w:rsid w:val="4EB175C0"/>
    <w:rsid w:val="4EB41733"/>
    <w:rsid w:val="4EB46B62"/>
    <w:rsid w:val="4EBB043F"/>
    <w:rsid w:val="4EBB34D9"/>
    <w:rsid w:val="4EBC186B"/>
    <w:rsid w:val="4EBC4CF2"/>
    <w:rsid w:val="4EBF7184"/>
    <w:rsid w:val="4EC05A55"/>
    <w:rsid w:val="4EC100CA"/>
    <w:rsid w:val="4EC15C1A"/>
    <w:rsid w:val="4EC217CD"/>
    <w:rsid w:val="4EC24B02"/>
    <w:rsid w:val="4ECC43FA"/>
    <w:rsid w:val="4ECD7E6D"/>
    <w:rsid w:val="4ECF5C98"/>
    <w:rsid w:val="4ED01595"/>
    <w:rsid w:val="4ED10F45"/>
    <w:rsid w:val="4ED25FA6"/>
    <w:rsid w:val="4ED67027"/>
    <w:rsid w:val="4EDA49FD"/>
    <w:rsid w:val="4EE07004"/>
    <w:rsid w:val="4EE17B16"/>
    <w:rsid w:val="4EE31744"/>
    <w:rsid w:val="4EE974A6"/>
    <w:rsid w:val="4EF23735"/>
    <w:rsid w:val="4EFA0F67"/>
    <w:rsid w:val="4EFB6C2C"/>
    <w:rsid w:val="4F007553"/>
    <w:rsid w:val="4F02606E"/>
    <w:rsid w:val="4F043B94"/>
    <w:rsid w:val="4F045001"/>
    <w:rsid w:val="4F052784"/>
    <w:rsid w:val="4F061C2A"/>
    <w:rsid w:val="4F0A6A1E"/>
    <w:rsid w:val="4F0B1A4E"/>
    <w:rsid w:val="4F135B85"/>
    <w:rsid w:val="4F1813ED"/>
    <w:rsid w:val="4F195165"/>
    <w:rsid w:val="4F1A1903"/>
    <w:rsid w:val="4F1A3ED3"/>
    <w:rsid w:val="4F1F277C"/>
    <w:rsid w:val="4F217382"/>
    <w:rsid w:val="4F2204BE"/>
    <w:rsid w:val="4F22226C"/>
    <w:rsid w:val="4F29184C"/>
    <w:rsid w:val="4F2E29BF"/>
    <w:rsid w:val="4F312B99"/>
    <w:rsid w:val="4F343D4D"/>
    <w:rsid w:val="4F345086"/>
    <w:rsid w:val="4F385868"/>
    <w:rsid w:val="4F3A4752"/>
    <w:rsid w:val="4F3D23FD"/>
    <w:rsid w:val="4F4421E2"/>
    <w:rsid w:val="4F462154"/>
    <w:rsid w:val="4F4A2F4E"/>
    <w:rsid w:val="4F4C553B"/>
    <w:rsid w:val="4F51066C"/>
    <w:rsid w:val="4F5421EB"/>
    <w:rsid w:val="4F552B8F"/>
    <w:rsid w:val="4F57031E"/>
    <w:rsid w:val="4F571077"/>
    <w:rsid w:val="4F583EE0"/>
    <w:rsid w:val="4F593DEF"/>
    <w:rsid w:val="4F5B219C"/>
    <w:rsid w:val="4F5B2E70"/>
    <w:rsid w:val="4F5C13BF"/>
    <w:rsid w:val="4F60078E"/>
    <w:rsid w:val="4F6840CF"/>
    <w:rsid w:val="4F6D7F7A"/>
    <w:rsid w:val="4F6F4D85"/>
    <w:rsid w:val="4F716D4F"/>
    <w:rsid w:val="4F732893"/>
    <w:rsid w:val="4F77740A"/>
    <w:rsid w:val="4F7D158C"/>
    <w:rsid w:val="4F7D3946"/>
    <w:rsid w:val="4F802680"/>
    <w:rsid w:val="4F806D35"/>
    <w:rsid w:val="4F815FEA"/>
    <w:rsid w:val="4F850EEC"/>
    <w:rsid w:val="4F8672F5"/>
    <w:rsid w:val="4F8B1BBF"/>
    <w:rsid w:val="4F8C3E59"/>
    <w:rsid w:val="4F8E7901"/>
    <w:rsid w:val="4F93316A"/>
    <w:rsid w:val="4F9361EE"/>
    <w:rsid w:val="4F936CC6"/>
    <w:rsid w:val="4F9452D4"/>
    <w:rsid w:val="4F9707C8"/>
    <w:rsid w:val="4F9842DC"/>
    <w:rsid w:val="4F9B22FE"/>
    <w:rsid w:val="4F9F38BD"/>
    <w:rsid w:val="4FA122AD"/>
    <w:rsid w:val="4FA204E6"/>
    <w:rsid w:val="4FA7451F"/>
    <w:rsid w:val="4FAA2BC4"/>
    <w:rsid w:val="4FB37368"/>
    <w:rsid w:val="4FB42608"/>
    <w:rsid w:val="4FB521E8"/>
    <w:rsid w:val="4FB7572D"/>
    <w:rsid w:val="4FBC1146"/>
    <w:rsid w:val="4FC01822"/>
    <w:rsid w:val="4FC21D40"/>
    <w:rsid w:val="4FC652ED"/>
    <w:rsid w:val="4FC74BC1"/>
    <w:rsid w:val="4FC93A55"/>
    <w:rsid w:val="4FCB46B2"/>
    <w:rsid w:val="4FCE7CFE"/>
    <w:rsid w:val="4FCF53D3"/>
    <w:rsid w:val="4FD07F1A"/>
    <w:rsid w:val="4FD86DCF"/>
    <w:rsid w:val="4FDA6EFE"/>
    <w:rsid w:val="4FE27D8A"/>
    <w:rsid w:val="4FE305A5"/>
    <w:rsid w:val="4FE90FDC"/>
    <w:rsid w:val="4FE92D8A"/>
    <w:rsid w:val="4FEB4B02"/>
    <w:rsid w:val="4FEC4F6F"/>
    <w:rsid w:val="4FED106B"/>
    <w:rsid w:val="4FF5552A"/>
    <w:rsid w:val="4FF7041D"/>
    <w:rsid w:val="4FF84D7B"/>
    <w:rsid w:val="4FFD032E"/>
    <w:rsid w:val="50016A57"/>
    <w:rsid w:val="5003209D"/>
    <w:rsid w:val="50051CB6"/>
    <w:rsid w:val="50067DD6"/>
    <w:rsid w:val="500C1890"/>
    <w:rsid w:val="500D49E0"/>
    <w:rsid w:val="500E459E"/>
    <w:rsid w:val="5011725B"/>
    <w:rsid w:val="501A4730"/>
    <w:rsid w:val="501C047F"/>
    <w:rsid w:val="50253947"/>
    <w:rsid w:val="502C6FAE"/>
    <w:rsid w:val="502D45E7"/>
    <w:rsid w:val="502F2E92"/>
    <w:rsid w:val="502F4415"/>
    <w:rsid w:val="502F4EAB"/>
    <w:rsid w:val="50316EA9"/>
    <w:rsid w:val="50342257"/>
    <w:rsid w:val="50347AA2"/>
    <w:rsid w:val="503C110B"/>
    <w:rsid w:val="503F0BFC"/>
    <w:rsid w:val="50401050"/>
    <w:rsid w:val="5043249A"/>
    <w:rsid w:val="50504BB7"/>
    <w:rsid w:val="505221E4"/>
    <w:rsid w:val="505446A7"/>
    <w:rsid w:val="50544866"/>
    <w:rsid w:val="50574197"/>
    <w:rsid w:val="505C63D6"/>
    <w:rsid w:val="5060021B"/>
    <w:rsid w:val="506003AC"/>
    <w:rsid w:val="506239C4"/>
    <w:rsid w:val="50632B3C"/>
    <w:rsid w:val="50682D5B"/>
    <w:rsid w:val="506B19F1"/>
    <w:rsid w:val="506B6974"/>
    <w:rsid w:val="506C2D45"/>
    <w:rsid w:val="506D5769"/>
    <w:rsid w:val="50717F25"/>
    <w:rsid w:val="50741C6D"/>
    <w:rsid w:val="50746AF7"/>
    <w:rsid w:val="50753279"/>
    <w:rsid w:val="5079410E"/>
    <w:rsid w:val="508036EE"/>
    <w:rsid w:val="50850D04"/>
    <w:rsid w:val="508717E4"/>
    <w:rsid w:val="508A00C9"/>
    <w:rsid w:val="508B5895"/>
    <w:rsid w:val="50903205"/>
    <w:rsid w:val="50950B4F"/>
    <w:rsid w:val="50975B0F"/>
    <w:rsid w:val="50A078EC"/>
    <w:rsid w:val="50A54F03"/>
    <w:rsid w:val="50AC6291"/>
    <w:rsid w:val="50B30AE7"/>
    <w:rsid w:val="50B41619"/>
    <w:rsid w:val="50B712E6"/>
    <w:rsid w:val="50B82E88"/>
    <w:rsid w:val="50B906AB"/>
    <w:rsid w:val="50B909AE"/>
    <w:rsid w:val="50BB2978"/>
    <w:rsid w:val="50BE284A"/>
    <w:rsid w:val="50C01D3C"/>
    <w:rsid w:val="50C15A34"/>
    <w:rsid w:val="50C270E5"/>
    <w:rsid w:val="50C505E4"/>
    <w:rsid w:val="50CA2BBB"/>
    <w:rsid w:val="50CC1360"/>
    <w:rsid w:val="50CC248F"/>
    <w:rsid w:val="50CF0550"/>
    <w:rsid w:val="50CF1F80"/>
    <w:rsid w:val="50D06EDD"/>
    <w:rsid w:val="50D574E2"/>
    <w:rsid w:val="50DA7442"/>
    <w:rsid w:val="50DE0415"/>
    <w:rsid w:val="50E377D9"/>
    <w:rsid w:val="50E41316"/>
    <w:rsid w:val="50E752AD"/>
    <w:rsid w:val="50EA390B"/>
    <w:rsid w:val="50EC48E0"/>
    <w:rsid w:val="50EE4AFC"/>
    <w:rsid w:val="50F10148"/>
    <w:rsid w:val="50F35E05"/>
    <w:rsid w:val="50F43DD5"/>
    <w:rsid w:val="50F449E9"/>
    <w:rsid w:val="50F762BB"/>
    <w:rsid w:val="50F87728"/>
    <w:rsid w:val="50F9443C"/>
    <w:rsid w:val="50F94D32"/>
    <w:rsid w:val="50FA5D76"/>
    <w:rsid w:val="50FE1162"/>
    <w:rsid w:val="50FF2509"/>
    <w:rsid w:val="5101065B"/>
    <w:rsid w:val="51030AC8"/>
    <w:rsid w:val="510460CD"/>
    <w:rsid w:val="51085492"/>
    <w:rsid w:val="510A0F61"/>
    <w:rsid w:val="510C0237"/>
    <w:rsid w:val="510D0253"/>
    <w:rsid w:val="510D2AA8"/>
    <w:rsid w:val="511018A7"/>
    <w:rsid w:val="511124D0"/>
    <w:rsid w:val="511424AE"/>
    <w:rsid w:val="51153049"/>
    <w:rsid w:val="51164E85"/>
    <w:rsid w:val="511C6111"/>
    <w:rsid w:val="511E6A63"/>
    <w:rsid w:val="51255AB1"/>
    <w:rsid w:val="51257DF2"/>
    <w:rsid w:val="512B34B9"/>
    <w:rsid w:val="51312C3A"/>
    <w:rsid w:val="513403C7"/>
    <w:rsid w:val="51380E48"/>
    <w:rsid w:val="513B3E45"/>
    <w:rsid w:val="513C35FC"/>
    <w:rsid w:val="513C3BDA"/>
    <w:rsid w:val="513D4503"/>
    <w:rsid w:val="513D5060"/>
    <w:rsid w:val="513F7105"/>
    <w:rsid w:val="51426BF5"/>
    <w:rsid w:val="514711E7"/>
    <w:rsid w:val="51494287"/>
    <w:rsid w:val="514A7858"/>
    <w:rsid w:val="514D5A05"/>
    <w:rsid w:val="51521B45"/>
    <w:rsid w:val="515406D7"/>
    <w:rsid w:val="515C0123"/>
    <w:rsid w:val="51622DF4"/>
    <w:rsid w:val="51650921"/>
    <w:rsid w:val="51655A28"/>
    <w:rsid w:val="516C5A20"/>
    <w:rsid w:val="516E13D9"/>
    <w:rsid w:val="51703D89"/>
    <w:rsid w:val="51722A07"/>
    <w:rsid w:val="517448D5"/>
    <w:rsid w:val="517555E9"/>
    <w:rsid w:val="517B2107"/>
    <w:rsid w:val="517B5C63"/>
    <w:rsid w:val="517F1B32"/>
    <w:rsid w:val="51830E34"/>
    <w:rsid w:val="518409DB"/>
    <w:rsid w:val="51854256"/>
    <w:rsid w:val="518720C4"/>
    <w:rsid w:val="51872E72"/>
    <w:rsid w:val="518A5EA7"/>
    <w:rsid w:val="518C22A8"/>
    <w:rsid w:val="51905DE1"/>
    <w:rsid w:val="51962A9D"/>
    <w:rsid w:val="51976F41"/>
    <w:rsid w:val="519A07DF"/>
    <w:rsid w:val="51A134FE"/>
    <w:rsid w:val="51A27694"/>
    <w:rsid w:val="51A30A3B"/>
    <w:rsid w:val="51A67184"/>
    <w:rsid w:val="51AF22A8"/>
    <w:rsid w:val="51B233DE"/>
    <w:rsid w:val="51B57C80"/>
    <w:rsid w:val="51B70290"/>
    <w:rsid w:val="51B7313F"/>
    <w:rsid w:val="51BA49DE"/>
    <w:rsid w:val="51C1461E"/>
    <w:rsid w:val="51C21AAD"/>
    <w:rsid w:val="51C629BB"/>
    <w:rsid w:val="51D3684B"/>
    <w:rsid w:val="51D56584"/>
    <w:rsid w:val="51D86E94"/>
    <w:rsid w:val="51DB1DFE"/>
    <w:rsid w:val="51E25CE3"/>
    <w:rsid w:val="51E5516C"/>
    <w:rsid w:val="51E63A25"/>
    <w:rsid w:val="51EB4B97"/>
    <w:rsid w:val="51ED6B61"/>
    <w:rsid w:val="51F0705D"/>
    <w:rsid w:val="51F133E0"/>
    <w:rsid w:val="51F3539E"/>
    <w:rsid w:val="51FA1F8D"/>
    <w:rsid w:val="520069E9"/>
    <w:rsid w:val="520112E1"/>
    <w:rsid w:val="52011CB2"/>
    <w:rsid w:val="52024D8F"/>
    <w:rsid w:val="52067C23"/>
    <w:rsid w:val="520774F7"/>
    <w:rsid w:val="5208399B"/>
    <w:rsid w:val="52097713"/>
    <w:rsid w:val="52097AA8"/>
    <w:rsid w:val="520D7203"/>
    <w:rsid w:val="52132340"/>
    <w:rsid w:val="521778EB"/>
    <w:rsid w:val="521B7236"/>
    <w:rsid w:val="521F6F37"/>
    <w:rsid w:val="522105B9"/>
    <w:rsid w:val="522462FB"/>
    <w:rsid w:val="52266585"/>
    <w:rsid w:val="52285DEB"/>
    <w:rsid w:val="522A3A8F"/>
    <w:rsid w:val="522C0745"/>
    <w:rsid w:val="522E0F28"/>
    <w:rsid w:val="52397523"/>
    <w:rsid w:val="52397903"/>
    <w:rsid w:val="523D1A1D"/>
    <w:rsid w:val="52410C5B"/>
    <w:rsid w:val="5245699D"/>
    <w:rsid w:val="52467A81"/>
    <w:rsid w:val="52480ABD"/>
    <w:rsid w:val="52484AA4"/>
    <w:rsid w:val="524C3C66"/>
    <w:rsid w:val="524D13AE"/>
    <w:rsid w:val="52565D07"/>
    <w:rsid w:val="52613F05"/>
    <w:rsid w:val="52614E59"/>
    <w:rsid w:val="526158C8"/>
    <w:rsid w:val="52624CA7"/>
    <w:rsid w:val="52662470"/>
    <w:rsid w:val="52706A0C"/>
    <w:rsid w:val="52720E14"/>
    <w:rsid w:val="52733715"/>
    <w:rsid w:val="52742DDF"/>
    <w:rsid w:val="52802E6D"/>
    <w:rsid w:val="5282072A"/>
    <w:rsid w:val="528374C6"/>
    <w:rsid w:val="52887DF5"/>
    <w:rsid w:val="528A06C4"/>
    <w:rsid w:val="528B637A"/>
    <w:rsid w:val="528D3EA0"/>
    <w:rsid w:val="528F30E6"/>
    <w:rsid w:val="528F7C18"/>
    <w:rsid w:val="52984200"/>
    <w:rsid w:val="529A036B"/>
    <w:rsid w:val="529C2921"/>
    <w:rsid w:val="52A03BD4"/>
    <w:rsid w:val="52A4383C"/>
    <w:rsid w:val="52A445CA"/>
    <w:rsid w:val="52AC6306"/>
    <w:rsid w:val="52AD4542"/>
    <w:rsid w:val="52AD62F0"/>
    <w:rsid w:val="52B11F76"/>
    <w:rsid w:val="52B13329"/>
    <w:rsid w:val="52B42FE6"/>
    <w:rsid w:val="52B45E81"/>
    <w:rsid w:val="52B633F7"/>
    <w:rsid w:val="52B81571"/>
    <w:rsid w:val="52B95344"/>
    <w:rsid w:val="52BC6BCA"/>
    <w:rsid w:val="52BE04FE"/>
    <w:rsid w:val="52C403B0"/>
    <w:rsid w:val="52C44581"/>
    <w:rsid w:val="52CA3BE0"/>
    <w:rsid w:val="52CD24EF"/>
    <w:rsid w:val="52D23FA9"/>
    <w:rsid w:val="52D27B05"/>
    <w:rsid w:val="52DA3FF0"/>
    <w:rsid w:val="52DC1E0F"/>
    <w:rsid w:val="52DE5B10"/>
    <w:rsid w:val="52DE6D04"/>
    <w:rsid w:val="52DF6735"/>
    <w:rsid w:val="52E2243E"/>
    <w:rsid w:val="52E31D12"/>
    <w:rsid w:val="52E361B6"/>
    <w:rsid w:val="52E8770B"/>
    <w:rsid w:val="52EF337E"/>
    <w:rsid w:val="52F061DD"/>
    <w:rsid w:val="52F608EB"/>
    <w:rsid w:val="52F7756C"/>
    <w:rsid w:val="53042DB3"/>
    <w:rsid w:val="53071EA5"/>
    <w:rsid w:val="53081E4A"/>
    <w:rsid w:val="530B0448"/>
    <w:rsid w:val="531445C2"/>
    <w:rsid w:val="53147A72"/>
    <w:rsid w:val="53202F66"/>
    <w:rsid w:val="532145E9"/>
    <w:rsid w:val="53226CDE"/>
    <w:rsid w:val="5327117F"/>
    <w:rsid w:val="53281E1B"/>
    <w:rsid w:val="53285977"/>
    <w:rsid w:val="53300856"/>
    <w:rsid w:val="53316F22"/>
    <w:rsid w:val="53346A12"/>
    <w:rsid w:val="53360094"/>
    <w:rsid w:val="53367F96"/>
    <w:rsid w:val="533802B0"/>
    <w:rsid w:val="533B38FC"/>
    <w:rsid w:val="533D07C2"/>
    <w:rsid w:val="533D242D"/>
    <w:rsid w:val="533E33EC"/>
    <w:rsid w:val="533E605E"/>
    <w:rsid w:val="53420DCF"/>
    <w:rsid w:val="534419AD"/>
    <w:rsid w:val="53464AD3"/>
    <w:rsid w:val="534D68B8"/>
    <w:rsid w:val="53511372"/>
    <w:rsid w:val="53542C10"/>
    <w:rsid w:val="535528FF"/>
    <w:rsid w:val="536015B5"/>
    <w:rsid w:val="53603898"/>
    <w:rsid w:val="53603D1E"/>
    <w:rsid w:val="536410A5"/>
    <w:rsid w:val="537306D5"/>
    <w:rsid w:val="537820C8"/>
    <w:rsid w:val="53792797"/>
    <w:rsid w:val="537D42F8"/>
    <w:rsid w:val="53803A05"/>
    <w:rsid w:val="53817CA1"/>
    <w:rsid w:val="5382152B"/>
    <w:rsid w:val="538232D9"/>
    <w:rsid w:val="53830241"/>
    <w:rsid w:val="53831B29"/>
    <w:rsid w:val="5385216D"/>
    <w:rsid w:val="53890B0C"/>
    <w:rsid w:val="538C7A30"/>
    <w:rsid w:val="538D543C"/>
    <w:rsid w:val="53933738"/>
    <w:rsid w:val="53942B34"/>
    <w:rsid w:val="53964FD7"/>
    <w:rsid w:val="539B5781"/>
    <w:rsid w:val="539B691C"/>
    <w:rsid w:val="53A10DA8"/>
    <w:rsid w:val="53A96AB8"/>
    <w:rsid w:val="53AA18CB"/>
    <w:rsid w:val="53AE0572"/>
    <w:rsid w:val="53AE47FC"/>
    <w:rsid w:val="53B02421"/>
    <w:rsid w:val="53B33222"/>
    <w:rsid w:val="53B92A73"/>
    <w:rsid w:val="53BB33F9"/>
    <w:rsid w:val="53BC2C8F"/>
    <w:rsid w:val="53BF536C"/>
    <w:rsid w:val="53C402D2"/>
    <w:rsid w:val="53C90F08"/>
    <w:rsid w:val="53CC09F8"/>
    <w:rsid w:val="53CE56F1"/>
    <w:rsid w:val="53CF4A5C"/>
    <w:rsid w:val="53D61877"/>
    <w:rsid w:val="53D8114B"/>
    <w:rsid w:val="53D91813"/>
    <w:rsid w:val="53DD0E57"/>
    <w:rsid w:val="53DF4C9B"/>
    <w:rsid w:val="53E30B9D"/>
    <w:rsid w:val="53E43F94"/>
    <w:rsid w:val="53EB70D0"/>
    <w:rsid w:val="53F05B9F"/>
    <w:rsid w:val="53F266B1"/>
    <w:rsid w:val="53F35F85"/>
    <w:rsid w:val="53F54917"/>
    <w:rsid w:val="53FA37B7"/>
    <w:rsid w:val="53FA5565"/>
    <w:rsid w:val="53FC4219"/>
    <w:rsid w:val="53FF3654"/>
    <w:rsid w:val="53FF37FC"/>
    <w:rsid w:val="54074A9D"/>
    <w:rsid w:val="540B1521"/>
    <w:rsid w:val="540D7691"/>
    <w:rsid w:val="541008E5"/>
    <w:rsid w:val="541859EC"/>
    <w:rsid w:val="541C37E8"/>
    <w:rsid w:val="54223609"/>
    <w:rsid w:val="54281ACB"/>
    <w:rsid w:val="54286D1A"/>
    <w:rsid w:val="542873AB"/>
    <w:rsid w:val="542B4919"/>
    <w:rsid w:val="542D76E9"/>
    <w:rsid w:val="54332825"/>
    <w:rsid w:val="543D1653"/>
    <w:rsid w:val="543E469C"/>
    <w:rsid w:val="5440557B"/>
    <w:rsid w:val="54445400"/>
    <w:rsid w:val="54484523"/>
    <w:rsid w:val="54510E06"/>
    <w:rsid w:val="54532EC8"/>
    <w:rsid w:val="5454111A"/>
    <w:rsid w:val="5455279C"/>
    <w:rsid w:val="54573084"/>
    <w:rsid w:val="545B7D9E"/>
    <w:rsid w:val="545D78A2"/>
    <w:rsid w:val="54613836"/>
    <w:rsid w:val="54662BFB"/>
    <w:rsid w:val="54680721"/>
    <w:rsid w:val="546926EB"/>
    <w:rsid w:val="54694499"/>
    <w:rsid w:val="546A1491"/>
    <w:rsid w:val="5473227C"/>
    <w:rsid w:val="54752E3E"/>
    <w:rsid w:val="5478723A"/>
    <w:rsid w:val="547B3DEE"/>
    <w:rsid w:val="547C1105"/>
    <w:rsid w:val="547F67E6"/>
    <w:rsid w:val="548117E3"/>
    <w:rsid w:val="54815C87"/>
    <w:rsid w:val="54817A35"/>
    <w:rsid w:val="54833180"/>
    <w:rsid w:val="548337AD"/>
    <w:rsid w:val="548412D3"/>
    <w:rsid w:val="54843081"/>
    <w:rsid w:val="54857525"/>
    <w:rsid w:val="54890697"/>
    <w:rsid w:val="548B155F"/>
    <w:rsid w:val="548D0188"/>
    <w:rsid w:val="548D7BC8"/>
    <w:rsid w:val="54907148"/>
    <w:rsid w:val="549464D0"/>
    <w:rsid w:val="54A056B6"/>
    <w:rsid w:val="54A11D47"/>
    <w:rsid w:val="54A12E7B"/>
    <w:rsid w:val="54A31759"/>
    <w:rsid w:val="54A3297F"/>
    <w:rsid w:val="54A551B4"/>
    <w:rsid w:val="54A6722A"/>
    <w:rsid w:val="54AA0D3A"/>
    <w:rsid w:val="54AA10DD"/>
    <w:rsid w:val="54AD6A7C"/>
    <w:rsid w:val="54AD6F78"/>
    <w:rsid w:val="54BB36CD"/>
    <w:rsid w:val="54BE29B0"/>
    <w:rsid w:val="54C019B5"/>
    <w:rsid w:val="54CD2C7A"/>
    <w:rsid w:val="54CF254E"/>
    <w:rsid w:val="54D1544D"/>
    <w:rsid w:val="54D354E4"/>
    <w:rsid w:val="54D55BE3"/>
    <w:rsid w:val="54D758A7"/>
    <w:rsid w:val="54D8141E"/>
    <w:rsid w:val="54D97871"/>
    <w:rsid w:val="54DA0EF3"/>
    <w:rsid w:val="54DA2638"/>
    <w:rsid w:val="54DB52AD"/>
    <w:rsid w:val="54DD79F6"/>
    <w:rsid w:val="54DE6C35"/>
    <w:rsid w:val="54E14EED"/>
    <w:rsid w:val="54E2366B"/>
    <w:rsid w:val="54EF2BF0"/>
    <w:rsid w:val="54F00818"/>
    <w:rsid w:val="54F14BBA"/>
    <w:rsid w:val="54F16968"/>
    <w:rsid w:val="54F36B90"/>
    <w:rsid w:val="54FC530D"/>
    <w:rsid w:val="55003CBC"/>
    <w:rsid w:val="55012E6A"/>
    <w:rsid w:val="55072BCC"/>
    <w:rsid w:val="550F5041"/>
    <w:rsid w:val="5511700B"/>
    <w:rsid w:val="55145A25"/>
    <w:rsid w:val="55162754"/>
    <w:rsid w:val="551752CF"/>
    <w:rsid w:val="5519677B"/>
    <w:rsid w:val="551B39E5"/>
    <w:rsid w:val="551C150B"/>
    <w:rsid w:val="5526102B"/>
    <w:rsid w:val="55264138"/>
    <w:rsid w:val="552A1E7A"/>
    <w:rsid w:val="552C79A0"/>
    <w:rsid w:val="552F7491"/>
    <w:rsid w:val="55342CF9"/>
    <w:rsid w:val="55344AA7"/>
    <w:rsid w:val="55393E6B"/>
    <w:rsid w:val="553979D4"/>
    <w:rsid w:val="553A55CC"/>
    <w:rsid w:val="553B0B83"/>
    <w:rsid w:val="553B5E36"/>
    <w:rsid w:val="553C2B64"/>
    <w:rsid w:val="553C662A"/>
    <w:rsid w:val="554021D3"/>
    <w:rsid w:val="55406C0B"/>
    <w:rsid w:val="55430C5C"/>
    <w:rsid w:val="55445227"/>
    <w:rsid w:val="55454AA5"/>
    <w:rsid w:val="55485FED"/>
    <w:rsid w:val="55486565"/>
    <w:rsid w:val="554A6079"/>
    <w:rsid w:val="554E4E34"/>
    <w:rsid w:val="554F368F"/>
    <w:rsid w:val="555030C9"/>
    <w:rsid w:val="55504310"/>
    <w:rsid w:val="555111B5"/>
    <w:rsid w:val="5552317F"/>
    <w:rsid w:val="55564A1D"/>
    <w:rsid w:val="5559268E"/>
    <w:rsid w:val="555A514E"/>
    <w:rsid w:val="555E7D76"/>
    <w:rsid w:val="556232C2"/>
    <w:rsid w:val="55652EB2"/>
    <w:rsid w:val="556907F7"/>
    <w:rsid w:val="55690BF5"/>
    <w:rsid w:val="556C7A16"/>
    <w:rsid w:val="556D6A38"/>
    <w:rsid w:val="556F3D31"/>
    <w:rsid w:val="556F5ADF"/>
    <w:rsid w:val="55750073"/>
    <w:rsid w:val="557650C0"/>
    <w:rsid w:val="557A54CC"/>
    <w:rsid w:val="557E3F74"/>
    <w:rsid w:val="5581018E"/>
    <w:rsid w:val="5583514A"/>
    <w:rsid w:val="5587107B"/>
    <w:rsid w:val="558C043F"/>
    <w:rsid w:val="558C48E3"/>
    <w:rsid w:val="558D41B7"/>
    <w:rsid w:val="558F093B"/>
    <w:rsid w:val="558F7F2F"/>
    <w:rsid w:val="559216CD"/>
    <w:rsid w:val="559D43FA"/>
    <w:rsid w:val="55A0038E"/>
    <w:rsid w:val="55A33E57"/>
    <w:rsid w:val="55A559A5"/>
    <w:rsid w:val="55A74FEE"/>
    <w:rsid w:val="55A95AE1"/>
    <w:rsid w:val="55AB03BC"/>
    <w:rsid w:val="55AB6149"/>
    <w:rsid w:val="55AC0AE1"/>
    <w:rsid w:val="55AD5535"/>
    <w:rsid w:val="55AE2AAB"/>
    <w:rsid w:val="55AF05D2"/>
    <w:rsid w:val="55B31E70"/>
    <w:rsid w:val="55B42837"/>
    <w:rsid w:val="55B83875"/>
    <w:rsid w:val="55BC7D14"/>
    <w:rsid w:val="55C070BA"/>
    <w:rsid w:val="55C37BD9"/>
    <w:rsid w:val="55C77F50"/>
    <w:rsid w:val="55CB39DB"/>
    <w:rsid w:val="55D1679A"/>
    <w:rsid w:val="55D623BA"/>
    <w:rsid w:val="55DD6EED"/>
    <w:rsid w:val="55E55DA1"/>
    <w:rsid w:val="55E71B19"/>
    <w:rsid w:val="55E75420"/>
    <w:rsid w:val="55E93AE3"/>
    <w:rsid w:val="55EC6EE7"/>
    <w:rsid w:val="55EE10FA"/>
    <w:rsid w:val="55F10BEA"/>
    <w:rsid w:val="55F54632"/>
    <w:rsid w:val="55F67FAE"/>
    <w:rsid w:val="55F935FB"/>
    <w:rsid w:val="55F97104"/>
    <w:rsid w:val="55FA1AF9"/>
    <w:rsid w:val="55FB7B9D"/>
    <w:rsid w:val="56010E2D"/>
    <w:rsid w:val="5604091D"/>
    <w:rsid w:val="56052E94"/>
    <w:rsid w:val="56095D90"/>
    <w:rsid w:val="56095F34"/>
    <w:rsid w:val="56097CE2"/>
    <w:rsid w:val="560C72B1"/>
    <w:rsid w:val="561072C2"/>
    <w:rsid w:val="56114DE8"/>
    <w:rsid w:val="561C5140"/>
    <w:rsid w:val="56242D6E"/>
    <w:rsid w:val="5625461D"/>
    <w:rsid w:val="56263A67"/>
    <w:rsid w:val="5626556B"/>
    <w:rsid w:val="56272957"/>
    <w:rsid w:val="56273AAD"/>
    <w:rsid w:val="562946DE"/>
    <w:rsid w:val="562B5EAA"/>
    <w:rsid w:val="562B7C58"/>
    <w:rsid w:val="562D229C"/>
    <w:rsid w:val="562D6072"/>
    <w:rsid w:val="563369DD"/>
    <w:rsid w:val="56365031"/>
    <w:rsid w:val="56372AA1"/>
    <w:rsid w:val="563A5E8C"/>
    <w:rsid w:val="563D2158"/>
    <w:rsid w:val="563E238F"/>
    <w:rsid w:val="564156CE"/>
    <w:rsid w:val="56424FA2"/>
    <w:rsid w:val="564927D4"/>
    <w:rsid w:val="564F1C59"/>
    <w:rsid w:val="564F65FF"/>
    <w:rsid w:val="565151E5"/>
    <w:rsid w:val="565C42B5"/>
    <w:rsid w:val="565D1DDC"/>
    <w:rsid w:val="565D3B8A"/>
    <w:rsid w:val="565E03C9"/>
    <w:rsid w:val="565F54B6"/>
    <w:rsid w:val="5661367A"/>
    <w:rsid w:val="56665134"/>
    <w:rsid w:val="56674A08"/>
    <w:rsid w:val="56680EAC"/>
    <w:rsid w:val="566B24CD"/>
    <w:rsid w:val="566B5A3F"/>
    <w:rsid w:val="566F7FB5"/>
    <w:rsid w:val="56701B0F"/>
    <w:rsid w:val="56750A04"/>
    <w:rsid w:val="56764C4B"/>
    <w:rsid w:val="567A1B6A"/>
    <w:rsid w:val="567F017E"/>
    <w:rsid w:val="56886469"/>
    <w:rsid w:val="56944336"/>
    <w:rsid w:val="569F23F4"/>
    <w:rsid w:val="569F6CEC"/>
    <w:rsid w:val="56A24CEA"/>
    <w:rsid w:val="56A25A40"/>
    <w:rsid w:val="56A8314F"/>
    <w:rsid w:val="56AA4FB9"/>
    <w:rsid w:val="56AB2B47"/>
    <w:rsid w:val="56AC7116"/>
    <w:rsid w:val="56AF6ADB"/>
    <w:rsid w:val="56B20379"/>
    <w:rsid w:val="56B7773E"/>
    <w:rsid w:val="56BA0FDC"/>
    <w:rsid w:val="56BB686A"/>
    <w:rsid w:val="56BE0ACC"/>
    <w:rsid w:val="56C13C34"/>
    <w:rsid w:val="56C169E5"/>
    <w:rsid w:val="56CD67B5"/>
    <w:rsid w:val="56D075F1"/>
    <w:rsid w:val="56D106EB"/>
    <w:rsid w:val="56D402F0"/>
    <w:rsid w:val="56D83E08"/>
    <w:rsid w:val="56D842AC"/>
    <w:rsid w:val="56DB5BC3"/>
    <w:rsid w:val="56DB7600"/>
    <w:rsid w:val="56DE116E"/>
    <w:rsid w:val="56E10C5F"/>
    <w:rsid w:val="56E12A0D"/>
    <w:rsid w:val="56E15A12"/>
    <w:rsid w:val="56E524FD"/>
    <w:rsid w:val="56E66275"/>
    <w:rsid w:val="56E878F7"/>
    <w:rsid w:val="56E96B45"/>
    <w:rsid w:val="56EA526A"/>
    <w:rsid w:val="56EA7B13"/>
    <w:rsid w:val="56EE4427"/>
    <w:rsid w:val="56EF2D80"/>
    <w:rsid w:val="56F56327"/>
    <w:rsid w:val="56F72230"/>
    <w:rsid w:val="56FA762A"/>
    <w:rsid w:val="56FB36FB"/>
    <w:rsid w:val="57010267"/>
    <w:rsid w:val="57034309"/>
    <w:rsid w:val="57064221"/>
    <w:rsid w:val="570B2198"/>
    <w:rsid w:val="570C0F09"/>
    <w:rsid w:val="570D735E"/>
    <w:rsid w:val="570F30D6"/>
    <w:rsid w:val="57161D4B"/>
    <w:rsid w:val="571C4F99"/>
    <w:rsid w:val="571D3CAF"/>
    <w:rsid w:val="572052E3"/>
    <w:rsid w:val="572574AA"/>
    <w:rsid w:val="572823EA"/>
    <w:rsid w:val="572A5B9B"/>
    <w:rsid w:val="572A6162"/>
    <w:rsid w:val="572D1AB1"/>
    <w:rsid w:val="57316080"/>
    <w:rsid w:val="5732516C"/>
    <w:rsid w:val="573332EA"/>
    <w:rsid w:val="57341025"/>
    <w:rsid w:val="57342B3C"/>
    <w:rsid w:val="5737044C"/>
    <w:rsid w:val="5737087F"/>
    <w:rsid w:val="57390153"/>
    <w:rsid w:val="573C1789"/>
    <w:rsid w:val="573C7197"/>
    <w:rsid w:val="57482D4C"/>
    <w:rsid w:val="574B60D8"/>
    <w:rsid w:val="574E5CB2"/>
    <w:rsid w:val="574F5022"/>
    <w:rsid w:val="574F6D32"/>
    <w:rsid w:val="575152D9"/>
    <w:rsid w:val="57535931"/>
    <w:rsid w:val="57552E65"/>
    <w:rsid w:val="575818A9"/>
    <w:rsid w:val="575E5D6B"/>
    <w:rsid w:val="57632CB7"/>
    <w:rsid w:val="57692338"/>
    <w:rsid w:val="576D24F2"/>
    <w:rsid w:val="5774717B"/>
    <w:rsid w:val="577675F9"/>
    <w:rsid w:val="577737A7"/>
    <w:rsid w:val="5778776C"/>
    <w:rsid w:val="577B076B"/>
    <w:rsid w:val="577C773B"/>
    <w:rsid w:val="577F72A2"/>
    <w:rsid w:val="57803FD4"/>
    <w:rsid w:val="578616C7"/>
    <w:rsid w:val="578A4E52"/>
    <w:rsid w:val="578B3D48"/>
    <w:rsid w:val="578D66F1"/>
    <w:rsid w:val="57921934"/>
    <w:rsid w:val="57923D07"/>
    <w:rsid w:val="57931345"/>
    <w:rsid w:val="579706B0"/>
    <w:rsid w:val="5798756F"/>
    <w:rsid w:val="579A50DA"/>
    <w:rsid w:val="579B0E0D"/>
    <w:rsid w:val="57A35F14"/>
    <w:rsid w:val="57A557E8"/>
    <w:rsid w:val="57A74D3D"/>
    <w:rsid w:val="57AD28EF"/>
    <w:rsid w:val="57AE5B3B"/>
    <w:rsid w:val="57AE6D93"/>
    <w:rsid w:val="57B14116"/>
    <w:rsid w:val="57B4157D"/>
    <w:rsid w:val="57B6747D"/>
    <w:rsid w:val="57BB500C"/>
    <w:rsid w:val="57BC2B32"/>
    <w:rsid w:val="57BC3BD4"/>
    <w:rsid w:val="57BC3D6B"/>
    <w:rsid w:val="57BD0D84"/>
    <w:rsid w:val="57C27C0E"/>
    <w:rsid w:val="57C540DC"/>
    <w:rsid w:val="57C57C38"/>
    <w:rsid w:val="57D61E46"/>
    <w:rsid w:val="57D64006"/>
    <w:rsid w:val="57D83E10"/>
    <w:rsid w:val="57DB745C"/>
    <w:rsid w:val="57DE5703"/>
    <w:rsid w:val="57DF3B96"/>
    <w:rsid w:val="57E171D9"/>
    <w:rsid w:val="57E247B5"/>
    <w:rsid w:val="57E26A3C"/>
    <w:rsid w:val="57E52628"/>
    <w:rsid w:val="57E549B6"/>
    <w:rsid w:val="57ED286F"/>
    <w:rsid w:val="57F17992"/>
    <w:rsid w:val="57F40742"/>
    <w:rsid w:val="57F50A1F"/>
    <w:rsid w:val="57F56770"/>
    <w:rsid w:val="57F86C75"/>
    <w:rsid w:val="57F927D3"/>
    <w:rsid w:val="57FA1FD8"/>
    <w:rsid w:val="57FA3401"/>
    <w:rsid w:val="58020E8D"/>
    <w:rsid w:val="58022C3B"/>
    <w:rsid w:val="580469B3"/>
    <w:rsid w:val="580649C9"/>
    <w:rsid w:val="58070251"/>
    <w:rsid w:val="5807647D"/>
    <w:rsid w:val="580A2E87"/>
    <w:rsid w:val="580C3793"/>
    <w:rsid w:val="580E5A83"/>
    <w:rsid w:val="580E7831"/>
    <w:rsid w:val="581110D0"/>
    <w:rsid w:val="58160494"/>
    <w:rsid w:val="581B1F4E"/>
    <w:rsid w:val="581E29DE"/>
    <w:rsid w:val="58247124"/>
    <w:rsid w:val="58296419"/>
    <w:rsid w:val="582D7F42"/>
    <w:rsid w:val="582F11AF"/>
    <w:rsid w:val="582F1556"/>
    <w:rsid w:val="583059FA"/>
    <w:rsid w:val="583420FB"/>
    <w:rsid w:val="58350E34"/>
    <w:rsid w:val="583B7EFB"/>
    <w:rsid w:val="583C289C"/>
    <w:rsid w:val="583D005B"/>
    <w:rsid w:val="583F79EB"/>
    <w:rsid w:val="5842572D"/>
    <w:rsid w:val="58466FCB"/>
    <w:rsid w:val="584B45E2"/>
    <w:rsid w:val="584D65AC"/>
    <w:rsid w:val="5852431F"/>
    <w:rsid w:val="585273B2"/>
    <w:rsid w:val="585319BE"/>
    <w:rsid w:val="585711D8"/>
    <w:rsid w:val="58580AAD"/>
    <w:rsid w:val="585A0885"/>
    <w:rsid w:val="585C1411"/>
    <w:rsid w:val="585E4E1D"/>
    <w:rsid w:val="5860449E"/>
    <w:rsid w:val="586072AB"/>
    <w:rsid w:val="58680309"/>
    <w:rsid w:val="58694A68"/>
    <w:rsid w:val="587203C3"/>
    <w:rsid w:val="58744106"/>
    <w:rsid w:val="58792349"/>
    <w:rsid w:val="58802102"/>
    <w:rsid w:val="58804092"/>
    <w:rsid w:val="58817FB9"/>
    <w:rsid w:val="58836930"/>
    <w:rsid w:val="58860E04"/>
    <w:rsid w:val="58866DF4"/>
    <w:rsid w:val="588B5CAC"/>
    <w:rsid w:val="588C69A8"/>
    <w:rsid w:val="588E60C4"/>
    <w:rsid w:val="5892699C"/>
    <w:rsid w:val="58941AA7"/>
    <w:rsid w:val="589715D5"/>
    <w:rsid w:val="589A3C9F"/>
    <w:rsid w:val="589A4DAB"/>
    <w:rsid w:val="589D2963"/>
    <w:rsid w:val="58A14202"/>
    <w:rsid w:val="58A947C8"/>
    <w:rsid w:val="58AE0309"/>
    <w:rsid w:val="58AE04D7"/>
    <w:rsid w:val="58AF13AE"/>
    <w:rsid w:val="58B06B3A"/>
    <w:rsid w:val="58B12A14"/>
    <w:rsid w:val="58B24661"/>
    <w:rsid w:val="58B351FF"/>
    <w:rsid w:val="58B64C9C"/>
    <w:rsid w:val="58C43FFE"/>
    <w:rsid w:val="58C6432E"/>
    <w:rsid w:val="58C85C32"/>
    <w:rsid w:val="58C965E7"/>
    <w:rsid w:val="58CA68FD"/>
    <w:rsid w:val="58CD4FF7"/>
    <w:rsid w:val="58CF5213"/>
    <w:rsid w:val="58D022C4"/>
    <w:rsid w:val="58D15E39"/>
    <w:rsid w:val="58D26AB1"/>
    <w:rsid w:val="58D75E75"/>
    <w:rsid w:val="58D8399B"/>
    <w:rsid w:val="58D86630"/>
    <w:rsid w:val="58DE3FD9"/>
    <w:rsid w:val="58DE5456"/>
    <w:rsid w:val="58DF4D2A"/>
    <w:rsid w:val="58E0607E"/>
    <w:rsid w:val="58E273FB"/>
    <w:rsid w:val="58E3481A"/>
    <w:rsid w:val="58E37FE6"/>
    <w:rsid w:val="58E40592"/>
    <w:rsid w:val="58E42340"/>
    <w:rsid w:val="58E56DC7"/>
    <w:rsid w:val="58E660B8"/>
    <w:rsid w:val="58E67833"/>
    <w:rsid w:val="58E67940"/>
    <w:rsid w:val="58E81E30"/>
    <w:rsid w:val="58ED74D9"/>
    <w:rsid w:val="58EE6726"/>
    <w:rsid w:val="58F00CE5"/>
    <w:rsid w:val="58F4510A"/>
    <w:rsid w:val="58FC58DC"/>
    <w:rsid w:val="58FE1654"/>
    <w:rsid w:val="58FE78A6"/>
    <w:rsid w:val="5901327B"/>
    <w:rsid w:val="59017396"/>
    <w:rsid w:val="59023463"/>
    <w:rsid w:val="5903310E"/>
    <w:rsid w:val="59071F3F"/>
    <w:rsid w:val="590B1FC3"/>
    <w:rsid w:val="590D75BE"/>
    <w:rsid w:val="590F1AB3"/>
    <w:rsid w:val="59171FE7"/>
    <w:rsid w:val="5919023C"/>
    <w:rsid w:val="591B0458"/>
    <w:rsid w:val="591D4E77"/>
    <w:rsid w:val="59206DEC"/>
    <w:rsid w:val="59232E69"/>
    <w:rsid w:val="59253085"/>
    <w:rsid w:val="592B4413"/>
    <w:rsid w:val="592F09CD"/>
    <w:rsid w:val="593212FE"/>
    <w:rsid w:val="59345076"/>
    <w:rsid w:val="593A2B08"/>
    <w:rsid w:val="593B28A8"/>
    <w:rsid w:val="593C1B3E"/>
    <w:rsid w:val="593D5DAF"/>
    <w:rsid w:val="59423865"/>
    <w:rsid w:val="594568F7"/>
    <w:rsid w:val="59466C53"/>
    <w:rsid w:val="59480B21"/>
    <w:rsid w:val="5948595F"/>
    <w:rsid w:val="594B0611"/>
    <w:rsid w:val="594B23BF"/>
    <w:rsid w:val="59594ADC"/>
    <w:rsid w:val="595D1E4E"/>
    <w:rsid w:val="595E520F"/>
    <w:rsid w:val="59601354"/>
    <w:rsid w:val="59633BAD"/>
    <w:rsid w:val="596516D3"/>
    <w:rsid w:val="59670764"/>
    <w:rsid w:val="59676172"/>
    <w:rsid w:val="596D797C"/>
    <w:rsid w:val="596F37BB"/>
    <w:rsid w:val="59702CC4"/>
    <w:rsid w:val="59787687"/>
    <w:rsid w:val="5979517E"/>
    <w:rsid w:val="597B1764"/>
    <w:rsid w:val="597B2CC1"/>
    <w:rsid w:val="597B512C"/>
    <w:rsid w:val="597F4FDF"/>
    <w:rsid w:val="59881E2B"/>
    <w:rsid w:val="598863C7"/>
    <w:rsid w:val="598A738C"/>
    <w:rsid w:val="598C4EB2"/>
    <w:rsid w:val="598C5812"/>
    <w:rsid w:val="598F6750"/>
    <w:rsid w:val="59967ADE"/>
    <w:rsid w:val="599827B6"/>
    <w:rsid w:val="599E4BE5"/>
    <w:rsid w:val="59A26483"/>
    <w:rsid w:val="59A321FB"/>
    <w:rsid w:val="59A4101C"/>
    <w:rsid w:val="59A44A9E"/>
    <w:rsid w:val="59AA17DC"/>
    <w:rsid w:val="59AD738B"/>
    <w:rsid w:val="59AF294E"/>
    <w:rsid w:val="59B64B36"/>
    <w:rsid w:val="59B77897"/>
    <w:rsid w:val="59BD32BD"/>
    <w:rsid w:val="59BE0DE3"/>
    <w:rsid w:val="59BE5287"/>
    <w:rsid w:val="59C06909"/>
    <w:rsid w:val="59C7413C"/>
    <w:rsid w:val="59C75EEA"/>
    <w:rsid w:val="59C97EB4"/>
    <w:rsid w:val="59D122A2"/>
    <w:rsid w:val="59D12E03"/>
    <w:rsid w:val="59D46859"/>
    <w:rsid w:val="59D84617"/>
    <w:rsid w:val="59DE4FE1"/>
    <w:rsid w:val="59E0276A"/>
    <w:rsid w:val="59E9098B"/>
    <w:rsid w:val="59EA0484"/>
    <w:rsid w:val="59EA1BD8"/>
    <w:rsid w:val="59EE16C8"/>
    <w:rsid w:val="59F111B9"/>
    <w:rsid w:val="59F11B9D"/>
    <w:rsid w:val="59FE7432"/>
    <w:rsid w:val="59FF3A27"/>
    <w:rsid w:val="5A007EC4"/>
    <w:rsid w:val="5A026F22"/>
    <w:rsid w:val="5A032C9A"/>
    <w:rsid w:val="5A053A3E"/>
    <w:rsid w:val="5A076501"/>
    <w:rsid w:val="5A077CF2"/>
    <w:rsid w:val="5A0802B0"/>
    <w:rsid w:val="5A0C7DA1"/>
    <w:rsid w:val="5A0E1D6B"/>
    <w:rsid w:val="5A0F7283"/>
    <w:rsid w:val="5A0F7891"/>
    <w:rsid w:val="5A101F2D"/>
    <w:rsid w:val="5A137693"/>
    <w:rsid w:val="5A144EA7"/>
    <w:rsid w:val="5A1804F3"/>
    <w:rsid w:val="5A194A92"/>
    <w:rsid w:val="5A1A113B"/>
    <w:rsid w:val="5A1D3C0D"/>
    <w:rsid w:val="5A1E5C1E"/>
    <w:rsid w:val="5A272E2C"/>
    <w:rsid w:val="5A276988"/>
    <w:rsid w:val="5A2A0227"/>
    <w:rsid w:val="5A3324F5"/>
    <w:rsid w:val="5A34314E"/>
    <w:rsid w:val="5A366373"/>
    <w:rsid w:val="5A382944"/>
    <w:rsid w:val="5A3E1C96"/>
    <w:rsid w:val="5A3E6328"/>
    <w:rsid w:val="5A3F0176"/>
    <w:rsid w:val="5A4A08C9"/>
    <w:rsid w:val="5A4F7393"/>
    <w:rsid w:val="5A504131"/>
    <w:rsid w:val="5A532D4A"/>
    <w:rsid w:val="5A540CF3"/>
    <w:rsid w:val="5A56129A"/>
    <w:rsid w:val="5A570B12"/>
    <w:rsid w:val="5A5B1EC4"/>
    <w:rsid w:val="5A5B4884"/>
    <w:rsid w:val="5A5C2F8F"/>
    <w:rsid w:val="5A5D23AA"/>
    <w:rsid w:val="5A5D5A51"/>
    <w:rsid w:val="5A5E76C1"/>
    <w:rsid w:val="5A643739"/>
    <w:rsid w:val="5A67147B"/>
    <w:rsid w:val="5A6A4AC7"/>
    <w:rsid w:val="5A6B0F6B"/>
    <w:rsid w:val="5A6C6A91"/>
    <w:rsid w:val="5A6E263F"/>
    <w:rsid w:val="5A736072"/>
    <w:rsid w:val="5A737E20"/>
    <w:rsid w:val="5A744206"/>
    <w:rsid w:val="5A74536B"/>
    <w:rsid w:val="5A7A11AE"/>
    <w:rsid w:val="5A7A7A20"/>
    <w:rsid w:val="5A7E4FF1"/>
    <w:rsid w:val="5A865DA5"/>
    <w:rsid w:val="5A8A21CA"/>
    <w:rsid w:val="5A8B33BB"/>
    <w:rsid w:val="5A8C0EE1"/>
    <w:rsid w:val="5A9164F8"/>
    <w:rsid w:val="5A9304C2"/>
    <w:rsid w:val="5A983AE6"/>
    <w:rsid w:val="5A9B522B"/>
    <w:rsid w:val="5A9D30EE"/>
    <w:rsid w:val="5A9F29C3"/>
    <w:rsid w:val="5A9F65AB"/>
    <w:rsid w:val="5AA24261"/>
    <w:rsid w:val="5AA4622B"/>
    <w:rsid w:val="5AA955EF"/>
    <w:rsid w:val="5AAA410D"/>
    <w:rsid w:val="5AAB580B"/>
    <w:rsid w:val="5AAD30F4"/>
    <w:rsid w:val="5AB126F6"/>
    <w:rsid w:val="5AB33C9A"/>
    <w:rsid w:val="5AB53F94"/>
    <w:rsid w:val="5AB57A12"/>
    <w:rsid w:val="5AB741B0"/>
    <w:rsid w:val="5AB82879"/>
    <w:rsid w:val="5ABA5A4E"/>
    <w:rsid w:val="5ABD553F"/>
    <w:rsid w:val="5ABF4E13"/>
    <w:rsid w:val="5AC010AA"/>
    <w:rsid w:val="5AC10B8B"/>
    <w:rsid w:val="5AC32B55"/>
    <w:rsid w:val="5AC60BF9"/>
    <w:rsid w:val="5AC97A40"/>
    <w:rsid w:val="5ACA2EAE"/>
    <w:rsid w:val="5ACA7106"/>
    <w:rsid w:val="5AD05272"/>
    <w:rsid w:val="5AD20FEA"/>
    <w:rsid w:val="5AD52888"/>
    <w:rsid w:val="5AD764D0"/>
    <w:rsid w:val="5ADC59C5"/>
    <w:rsid w:val="5ADD34EB"/>
    <w:rsid w:val="5AE467A0"/>
    <w:rsid w:val="5AE4717C"/>
    <w:rsid w:val="5AE53E6E"/>
    <w:rsid w:val="5AE623A0"/>
    <w:rsid w:val="5AE66844"/>
    <w:rsid w:val="5AE75DC0"/>
    <w:rsid w:val="5AE8436A"/>
    <w:rsid w:val="5AED6D9E"/>
    <w:rsid w:val="5AED7BD2"/>
    <w:rsid w:val="5AEE56F8"/>
    <w:rsid w:val="5AEF277B"/>
    <w:rsid w:val="5AF01470"/>
    <w:rsid w:val="5AF32B5D"/>
    <w:rsid w:val="5AF53CAE"/>
    <w:rsid w:val="5AF56A87"/>
    <w:rsid w:val="5AF727FF"/>
    <w:rsid w:val="5AF80325"/>
    <w:rsid w:val="5AF87C09"/>
    <w:rsid w:val="5B01367D"/>
    <w:rsid w:val="5B032705"/>
    <w:rsid w:val="5B070DD5"/>
    <w:rsid w:val="5B0A2ED5"/>
    <w:rsid w:val="5B0E4D1C"/>
    <w:rsid w:val="5B136F0D"/>
    <w:rsid w:val="5B183720"/>
    <w:rsid w:val="5B1D2007"/>
    <w:rsid w:val="5B22356E"/>
    <w:rsid w:val="5B2458F6"/>
    <w:rsid w:val="5B2555BE"/>
    <w:rsid w:val="5B2666D3"/>
    <w:rsid w:val="5B2D4231"/>
    <w:rsid w:val="5B2F1F99"/>
    <w:rsid w:val="5B305D11"/>
    <w:rsid w:val="5B310B4C"/>
    <w:rsid w:val="5B3515CA"/>
    <w:rsid w:val="5B354AD3"/>
    <w:rsid w:val="5B390226"/>
    <w:rsid w:val="5B392CCB"/>
    <w:rsid w:val="5B3A136D"/>
    <w:rsid w:val="5B3E21DC"/>
    <w:rsid w:val="5B3F7D02"/>
    <w:rsid w:val="5B41202E"/>
    <w:rsid w:val="5B450184"/>
    <w:rsid w:val="5B4812AC"/>
    <w:rsid w:val="5B490B80"/>
    <w:rsid w:val="5B4A0CF4"/>
    <w:rsid w:val="5B4A4658"/>
    <w:rsid w:val="5B4D0590"/>
    <w:rsid w:val="5B501091"/>
    <w:rsid w:val="5B5075CB"/>
    <w:rsid w:val="5B54277B"/>
    <w:rsid w:val="5B597015"/>
    <w:rsid w:val="5B597D57"/>
    <w:rsid w:val="5B5B72AF"/>
    <w:rsid w:val="5B5C3914"/>
    <w:rsid w:val="5B5E558C"/>
    <w:rsid w:val="5B667984"/>
    <w:rsid w:val="5B690727"/>
    <w:rsid w:val="5B6A1223"/>
    <w:rsid w:val="5B6C0511"/>
    <w:rsid w:val="5B6D2AC1"/>
    <w:rsid w:val="5B6D4F60"/>
    <w:rsid w:val="5B7200D7"/>
    <w:rsid w:val="5B762465"/>
    <w:rsid w:val="5B765E19"/>
    <w:rsid w:val="5B780C82"/>
    <w:rsid w:val="5B794490"/>
    <w:rsid w:val="5B7D6216"/>
    <w:rsid w:val="5B827ED5"/>
    <w:rsid w:val="5B85605C"/>
    <w:rsid w:val="5B880AF5"/>
    <w:rsid w:val="5B8A3F97"/>
    <w:rsid w:val="5B8E6DD6"/>
    <w:rsid w:val="5B8F316B"/>
    <w:rsid w:val="5B8F47E5"/>
    <w:rsid w:val="5B962018"/>
    <w:rsid w:val="5B9C2737"/>
    <w:rsid w:val="5B9E711E"/>
    <w:rsid w:val="5BA87F9D"/>
    <w:rsid w:val="5BAD55B3"/>
    <w:rsid w:val="5BAF6C35"/>
    <w:rsid w:val="5BB029AE"/>
    <w:rsid w:val="5BB16E51"/>
    <w:rsid w:val="5BB6317A"/>
    <w:rsid w:val="5BB849D8"/>
    <w:rsid w:val="5BC30933"/>
    <w:rsid w:val="5BC67079"/>
    <w:rsid w:val="5BC70423"/>
    <w:rsid w:val="5BCC087F"/>
    <w:rsid w:val="5BCE029E"/>
    <w:rsid w:val="5BCF552A"/>
    <w:rsid w:val="5BD04920"/>
    <w:rsid w:val="5BD30872"/>
    <w:rsid w:val="5BD34AAF"/>
    <w:rsid w:val="5BDC07D1"/>
    <w:rsid w:val="5BDE576D"/>
    <w:rsid w:val="5BE01BEC"/>
    <w:rsid w:val="5BE82147"/>
    <w:rsid w:val="5BEA7C93"/>
    <w:rsid w:val="5BF14209"/>
    <w:rsid w:val="5BF92E16"/>
    <w:rsid w:val="5BFD77E3"/>
    <w:rsid w:val="5BFE5D5C"/>
    <w:rsid w:val="5C02145B"/>
    <w:rsid w:val="5C052CF9"/>
    <w:rsid w:val="5C0B024A"/>
    <w:rsid w:val="5C0E36AA"/>
    <w:rsid w:val="5C145C50"/>
    <w:rsid w:val="5C171C05"/>
    <w:rsid w:val="5C1967A5"/>
    <w:rsid w:val="5C1A61CE"/>
    <w:rsid w:val="5C1B251D"/>
    <w:rsid w:val="5C1E3DF0"/>
    <w:rsid w:val="5C225659"/>
    <w:rsid w:val="5C2528EA"/>
    <w:rsid w:val="5C2A3D92"/>
    <w:rsid w:val="5C321615"/>
    <w:rsid w:val="5C332333"/>
    <w:rsid w:val="5C357BB0"/>
    <w:rsid w:val="5C384E7D"/>
    <w:rsid w:val="5C3A490C"/>
    <w:rsid w:val="5C3A5390"/>
    <w:rsid w:val="5C3D2493"/>
    <w:rsid w:val="5C3F58D3"/>
    <w:rsid w:val="5C4315A9"/>
    <w:rsid w:val="5C451348"/>
    <w:rsid w:val="5C4C62B6"/>
    <w:rsid w:val="5C4D1EAC"/>
    <w:rsid w:val="5C511A74"/>
    <w:rsid w:val="5C5123E2"/>
    <w:rsid w:val="5C536419"/>
    <w:rsid w:val="5C537F09"/>
    <w:rsid w:val="5C5477DD"/>
    <w:rsid w:val="5C5504D2"/>
    <w:rsid w:val="5C555D47"/>
    <w:rsid w:val="5C58107B"/>
    <w:rsid w:val="5C5D48E3"/>
    <w:rsid w:val="5C6032EB"/>
    <w:rsid w:val="5C604512"/>
    <w:rsid w:val="5C643663"/>
    <w:rsid w:val="5C67283F"/>
    <w:rsid w:val="5C6809DF"/>
    <w:rsid w:val="5C69772C"/>
    <w:rsid w:val="5C707137"/>
    <w:rsid w:val="5C713F1F"/>
    <w:rsid w:val="5C732653"/>
    <w:rsid w:val="5C7731D7"/>
    <w:rsid w:val="5C81424E"/>
    <w:rsid w:val="5C8167D8"/>
    <w:rsid w:val="5C822577"/>
    <w:rsid w:val="5C8409E0"/>
    <w:rsid w:val="5C844566"/>
    <w:rsid w:val="5C8B08CD"/>
    <w:rsid w:val="5C8D6C87"/>
    <w:rsid w:val="5C8E2CEF"/>
    <w:rsid w:val="5C90266F"/>
    <w:rsid w:val="5C9B365E"/>
    <w:rsid w:val="5C9B45B7"/>
    <w:rsid w:val="5C9B6DBC"/>
    <w:rsid w:val="5CA249EC"/>
    <w:rsid w:val="5CA469DE"/>
    <w:rsid w:val="5CA477A4"/>
    <w:rsid w:val="5CA6628A"/>
    <w:rsid w:val="5CA97B29"/>
    <w:rsid w:val="5CAA465E"/>
    <w:rsid w:val="5CAA564F"/>
    <w:rsid w:val="5CAB38A1"/>
    <w:rsid w:val="5CAF2C65"/>
    <w:rsid w:val="5CB2053F"/>
    <w:rsid w:val="5CB56981"/>
    <w:rsid w:val="5CB63FF4"/>
    <w:rsid w:val="5CB85FBE"/>
    <w:rsid w:val="5CBC212B"/>
    <w:rsid w:val="5CBF559E"/>
    <w:rsid w:val="5CC26E3C"/>
    <w:rsid w:val="5CC31B3E"/>
    <w:rsid w:val="5CC40E96"/>
    <w:rsid w:val="5CC95B45"/>
    <w:rsid w:val="5CCA3AED"/>
    <w:rsid w:val="5CCB3F43"/>
    <w:rsid w:val="5CCD0727"/>
    <w:rsid w:val="5CD050B5"/>
    <w:rsid w:val="5CD32DF8"/>
    <w:rsid w:val="5CD5434D"/>
    <w:rsid w:val="5CD54DC2"/>
    <w:rsid w:val="5CD64696"/>
    <w:rsid w:val="5CD67D88"/>
    <w:rsid w:val="5CDA7BA2"/>
    <w:rsid w:val="5CDF179C"/>
    <w:rsid w:val="5CDF72A9"/>
    <w:rsid w:val="5CE01B90"/>
    <w:rsid w:val="5CE10AD0"/>
    <w:rsid w:val="5CE70651"/>
    <w:rsid w:val="5CE92476"/>
    <w:rsid w:val="5CF35248"/>
    <w:rsid w:val="5CF36FF6"/>
    <w:rsid w:val="5CF55A11"/>
    <w:rsid w:val="5CF66B2F"/>
    <w:rsid w:val="5CF95C10"/>
    <w:rsid w:val="5D001BC7"/>
    <w:rsid w:val="5D0347EA"/>
    <w:rsid w:val="5D05627B"/>
    <w:rsid w:val="5D066D29"/>
    <w:rsid w:val="5D087BE1"/>
    <w:rsid w:val="5D0D6309"/>
    <w:rsid w:val="5D0E3E30"/>
    <w:rsid w:val="5D0F44F7"/>
    <w:rsid w:val="5D12464E"/>
    <w:rsid w:val="5D1551BE"/>
    <w:rsid w:val="5D192F00"/>
    <w:rsid w:val="5D1F01E6"/>
    <w:rsid w:val="5D217368"/>
    <w:rsid w:val="5D2418A5"/>
    <w:rsid w:val="5D2531BC"/>
    <w:rsid w:val="5D261179"/>
    <w:rsid w:val="5D266BF9"/>
    <w:rsid w:val="5D2B2C34"/>
    <w:rsid w:val="5D2C419E"/>
    <w:rsid w:val="5D2C7751"/>
    <w:rsid w:val="5D31225D"/>
    <w:rsid w:val="5D347D3A"/>
    <w:rsid w:val="5D3F30F5"/>
    <w:rsid w:val="5D3F46CF"/>
    <w:rsid w:val="5D403922"/>
    <w:rsid w:val="5D427E46"/>
    <w:rsid w:val="5D443CF5"/>
    <w:rsid w:val="5D476C1D"/>
    <w:rsid w:val="5D481878"/>
    <w:rsid w:val="5D4E06D0"/>
    <w:rsid w:val="5D5154F9"/>
    <w:rsid w:val="5D5340D1"/>
    <w:rsid w:val="5D5977A1"/>
    <w:rsid w:val="5D5A563A"/>
    <w:rsid w:val="5D5E4DB7"/>
    <w:rsid w:val="5D5E7A84"/>
    <w:rsid w:val="5D637CD5"/>
    <w:rsid w:val="5D647D73"/>
    <w:rsid w:val="5D681792"/>
    <w:rsid w:val="5D693F0E"/>
    <w:rsid w:val="5D6F0D72"/>
    <w:rsid w:val="5D704AEA"/>
    <w:rsid w:val="5D723378"/>
    <w:rsid w:val="5D7548E6"/>
    <w:rsid w:val="5D7719D5"/>
    <w:rsid w:val="5D795C02"/>
    <w:rsid w:val="5D7A14C5"/>
    <w:rsid w:val="5D7C6FEB"/>
    <w:rsid w:val="5D7D74D8"/>
    <w:rsid w:val="5D844640"/>
    <w:rsid w:val="5D88354C"/>
    <w:rsid w:val="5D8A795A"/>
    <w:rsid w:val="5D9A49F2"/>
    <w:rsid w:val="5D9E6F62"/>
    <w:rsid w:val="5DA052A8"/>
    <w:rsid w:val="5DA327CA"/>
    <w:rsid w:val="5DA37C65"/>
    <w:rsid w:val="5DA45A6F"/>
    <w:rsid w:val="5DA54865"/>
    <w:rsid w:val="5DAA7FFC"/>
    <w:rsid w:val="5DAB3C67"/>
    <w:rsid w:val="5DB1138B"/>
    <w:rsid w:val="5DB24888"/>
    <w:rsid w:val="5DB42ACA"/>
    <w:rsid w:val="5DB524FD"/>
    <w:rsid w:val="5DB66536"/>
    <w:rsid w:val="5DB93D33"/>
    <w:rsid w:val="5DC26D1A"/>
    <w:rsid w:val="5DC3008A"/>
    <w:rsid w:val="5DC32E6C"/>
    <w:rsid w:val="5DC5129A"/>
    <w:rsid w:val="5DC80482"/>
    <w:rsid w:val="5DC82230"/>
    <w:rsid w:val="5DCA244C"/>
    <w:rsid w:val="5DCA46B2"/>
    <w:rsid w:val="5DD00333"/>
    <w:rsid w:val="5DD17A54"/>
    <w:rsid w:val="5DD5494D"/>
    <w:rsid w:val="5DD60A25"/>
    <w:rsid w:val="5DDE3802"/>
    <w:rsid w:val="5DDF5E8A"/>
    <w:rsid w:val="5DE1497B"/>
    <w:rsid w:val="5DE60909"/>
    <w:rsid w:val="5DEC12B6"/>
    <w:rsid w:val="5DEC23C3"/>
    <w:rsid w:val="5DED7EE9"/>
    <w:rsid w:val="5DF24B50"/>
    <w:rsid w:val="5DF271A3"/>
    <w:rsid w:val="5DF36E10"/>
    <w:rsid w:val="5E0430BA"/>
    <w:rsid w:val="5E055233"/>
    <w:rsid w:val="5E096C5A"/>
    <w:rsid w:val="5E0A7399"/>
    <w:rsid w:val="5E0C4813"/>
    <w:rsid w:val="5E0C5358"/>
    <w:rsid w:val="5E0C65C1"/>
    <w:rsid w:val="5E1216FE"/>
    <w:rsid w:val="5E135BAC"/>
    <w:rsid w:val="5E14191A"/>
    <w:rsid w:val="5E145476"/>
    <w:rsid w:val="5E1611EE"/>
    <w:rsid w:val="5E204FFD"/>
    <w:rsid w:val="5E224037"/>
    <w:rsid w:val="5E252280"/>
    <w:rsid w:val="5E28130E"/>
    <w:rsid w:val="5E281A99"/>
    <w:rsid w:val="5E2841CF"/>
    <w:rsid w:val="5E287173"/>
    <w:rsid w:val="5E2B00B3"/>
    <w:rsid w:val="5E317DD6"/>
    <w:rsid w:val="5E337FF2"/>
    <w:rsid w:val="5E3653EC"/>
    <w:rsid w:val="5E37325F"/>
    <w:rsid w:val="5E385608"/>
    <w:rsid w:val="5E3B2A02"/>
    <w:rsid w:val="5E3C677A"/>
    <w:rsid w:val="5E3D65D8"/>
    <w:rsid w:val="5E4045E7"/>
    <w:rsid w:val="5E444AC9"/>
    <w:rsid w:val="5E445C6B"/>
    <w:rsid w:val="5E446D0A"/>
    <w:rsid w:val="5E4775F9"/>
    <w:rsid w:val="5E4A70E9"/>
    <w:rsid w:val="5E4F2952"/>
    <w:rsid w:val="5E522624"/>
    <w:rsid w:val="5E534EEB"/>
    <w:rsid w:val="5E5A0537"/>
    <w:rsid w:val="5E5B37F0"/>
    <w:rsid w:val="5E5E5C71"/>
    <w:rsid w:val="5E602469"/>
    <w:rsid w:val="5E60690D"/>
    <w:rsid w:val="5E624433"/>
    <w:rsid w:val="5E646364"/>
    <w:rsid w:val="5E663412"/>
    <w:rsid w:val="5E6703F1"/>
    <w:rsid w:val="5E6741C2"/>
    <w:rsid w:val="5E6834B8"/>
    <w:rsid w:val="5E68756F"/>
    <w:rsid w:val="5E6F4DA2"/>
    <w:rsid w:val="5E705A5F"/>
    <w:rsid w:val="5E7E2933"/>
    <w:rsid w:val="5E7E6D93"/>
    <w:rsid w:val="5E820631"/>
    <w:rsid w:val="5E824AD5"/>
    <w:rsid w:val="5E9209CE"/>
    <w:rsid w:val="5E930A90"/>
    <w:rsid w:val="5E940E76"/>
    <w:rsid w:val="5E974DDA"/>
    <w:rsid w:val="5E9E4F90"/>
    <w:rsid w:val="5E9F6A0F"/>
    <w:rsid w:val="5EA06693"/>
    <w:rsid w:val="5EA1088D"/>
    <w:rsid w:val="5EA22A81"/>
    <w:rsid w:val="5EA45048"/>
    <w:rsid w:val="5EA507C4"/>
    <w:rsid w:val="5EAC56AE"/>
    <w:rsid w:val="5EAE7678"/>
    <w:rsid w:val="5EB17168"/>
    <w:rsid w:val="5EB629D1"/>
    <w:rsid w:val="5EB67481"/>
    <w:rsid w:val="5EB76CB2"/>
    <w:rsid w:val="5EBD23CA"/>
    <w:rsid w:val="5EBF51EE"/>
    <w:rsid w:val="5EC6163E"/>
    <w:rsid w:val="5EC70AA6"/>
    <w:rsid w:val="5EC724E8"/>
    <w:rsid w:val="5EC77170"/>
    <w:rsid w:val="5ECA2FCC"/>
    <w:rsid w:val="5ECE1AC8"/>
    <w:rsid w:val="5ED07823"/>
    <w:rsid w:val="5ED109BF"/>
    <w:rsid w:val="5EDC0865"/>
    <w:rsid w:val="5EDE2626"/>
    <w:rsid w:val="5EE72B8A"/>
    <w:rsid w:val="5EE94B54"/>
    <w:rsid w:val="5EEB267A"/>
    <w:rsid w:val="5EEC1F4F"/>
    <w:rsid w:val="5EEF6593"/>
    <w:rsid w:val="5EF01A3F"/>
    <w:rsid w:val="5EF07C91"/>
    <w:rsid w:val="5EF11205"/>
    <w:rsid w:val="5EF25169"/>
    <w:rsid w:val="5EF534F9"/>
    <w:rsid w:val="5EF57055"/>
    <w:rsid w:val="5EFA28BD"/>
    <w:rsid w:val="5EFD23AE"/>
    <w:rsid w:val="5F0107F3"/>
    <w:rsid w:val="5F011E9E"/>
    <w:rsid w:val="5F0279C4"/>
    <w:rsid w:val="5F0674B4"/>
    <w:rsid w:val="5F0E0C24"/>
    <w:rsid w:val="5F1314CF"/>
    <w:rsid w:val="5F1514A5"/>
    <w:rsid w:val="5F1C1C0C"/>
    <w:rsid w:val="5F1C42D0"/>
    <w:rsid w:val="5F1D035A"/>
    <w:rsid w:val="5F29288B"/>
    <w:rsid w:val="5F294F51"/>
    <w:rsid w:val="5F296CFF"/>
    <w:rsid w:val="5F2A38A9"/>
    <w:rsid w:val="5F2B4FBB"/>
    <w:rsid w:val="5F2E2F07"/>
    <w:rsid w:val="5F2E474F"/>
    <w:rsid w:val="5F2E577D"/>
    <w:rsid w:val="5F334021"/>
    <w:rsid w:val="5F3550EA"/>
    <w:rsid w:val="5F386D8E"/>
    <w:rsid w:val="5F4C0708"/>
    <w:rsid w:val="5F51734E"/>
    <w:rsid w:val="5F522BAD"/>
    <w:rsid w:val="5F526256"/>
    <w:rsid w:val="5F5C5326"/>
    <w:rsid w:val="5F5C70D4"/>
    <w:rsid w:val="5F5E0A5B"/>
    <w:rsid w:val="5F5F5D77"/>
    <w:rsid w:val="5F61293D"/>
    <w:rsid w:val="5F6146EB"/>
    <w:rsid w:val="5F645E8C"/>
    <w:rsid w:val="5F69359F"/>
    <w:rsid w:val="5F6D710E"/>
    <w:rsid w:val="5F724B4A"/>
    <w:rsid w:val="5F740727"/>
    <w:rsid w:val="5F77699D"/>
    <w:rsid w:val="5F7C32D2"/>
    <w:rsid w:val="5F7D2DA7"/>
    <w:rsid w:val="5F851ACB"/>
    <w:rsid w:val="5F8806C1"/>
    <w:rsid w:val="5F8A1E93"/>
    <w:rsid w:val="5F8D3328"/>
    <w:rsid w:val="5F903222"/>
    <w:rsid w:val="5F922AF6"/>
    <w:rsid w:val="5F93061C"/>
    <w:rsid w:val="5F972498"/>
    <w:rsid w:val="5F9A7BFD"/>
    <w:rsid w:val="5FA16FA6"/>
    <w:rsid w:val="5FA42829"/>
    <w:rsid w:val="5FAB2559"/>
    <w:rsid w:val="5FAB4923"/>
    <w:rsid w:val="5FAE5456"/>
    <w:rsid w:val="5FAF3513"/>
    <w:rsid w:val="5FB00B8B"/>
    <w:rsid w:val="5FB30C74"/>
    <w:rsid w:val="5FB42F01"/>
    <w:rsid w:val="5FB521ED"/>
    <w:rsid w:val="5FB7255D"/>
    <w:rsid w:val="5FBA01E9"/>
    <w:rsid w:val="5FC14EF9"/>
    <w:rsid w:val="5FC420F6"/>
    <w:rsid w:val="5FC627A0"/>
    <w:rsid w:val="5FC92290"/>
    <w:rsid w:val="5FCA54A8"/>
    <w:rsid w:val="5FD21144"/>
    <w:rsid w:val="5FD72D43"/>
    <w:rsid w:val="5FDB26EF"/>
    <w:rsid w:val="5FDE21DF"/>
    <w:rsid w:val="5FE00E1F"/>
    <w:rsid w:val="5FE01AB3"/>
    <w:rsid w:val="5FE315A4"/>
    <w:rsid w:val="5FE64BF0"/>
    <w:rsid w:val="5FEC48FC"/>
    <w:rsid w:val="5FEC6260"/>
    <w:rsid w:val="5FEF1CF6"/>
    <w:rsid w:val="5FF34165"/>
    <w:rsid w:val="5FF76DFD"/>
    <w:rsid w:val="5FF9489B"/>
    <w:rsid w:val="5FFB5FA1"/>
    <w:rsid w:val="5FFC08B7"/>
    <w:rsid w:val="5FFD505A"/>
    <w:rsid w:val="60031C46"/>
    <w:rsid w:val="60041AB1"/>
    <w:rsid w:val="60083B32"/>
    <w:rsid w:val="600D4872"/>
    <w:rsid w:val="60193217"/>
    <w:rsid w:val="6019677F"/>
    <w:rsid w:val="601E438A"/>
    <w:rsid w:val="602014C6"/>
    <w:rsid w:val="60256581"/>
    <w:rsid w:val="60265C34"/>
    <w:rsid w:val="60275934"/>
    <w:rsid w:val="602A71D2"/>
    <w:rsid w:val="602C4CF9"/>
    <w:rsid w:val="602E7E55"/>
    <w:rsid w:val="60302D22"/>
    <w:rsid w:val="603040BD"/>
    <w:rsid w:val="6032727F"/>
    <w:rsid w:val="6033661F"/>
    <w:rsid w:val="60336BFF"/>
    <w:rsid w:val="603C5D56"/>
    <w:rsid w:val="603D15B1"/>
    <w:rsid w:val="603F2E02"/>
    <w:rsid w:val="604611AF"/>
    <w:rsid w:val="604A6707"/>
    <w:rsid w:val="604C7149"/>
    <w:rsid w:val="604D4D1B"/>
    <w:rsid w:val="60502261"/>
    <w:rsid w:val="6058575B"/>
    <w:rsid w:val="60593614"/>
    <w:rsid w:val="605A3B80"/>
    <w:rsid w:val="605C7F06"/>
    <w:rsid w:val="605D1356"/>
    <w:rsid w:val="605F491F"/>
    <w:rsid w:val="606049A2"/>
    <w:rsid w:val="606072E0"/>
    <w:rsid w:val="6065307F"/>
    <w:rsid w:val="60681AA9"/>
    <w:rsid w:val="606A72AE"/>
    <w:rsid w:val="606B7E4D"/>
    <w:rsid w:val="606C3347"/>
    <w:rsid w:val="606D7CB2"/>
    <w:rsid w:val="60733F1C"/>
    <w:rsid w:val="60733F41"/>
    <w:rsid w:val="60736A8B"/>
    <w:rsid w:val="607703D0"/>
    <w:rsid w:val="607B5C80"/>
    <w:rsid w:val="607E12CC"/>
    <w:rsid w:val="60805DB4"/>
    <w:rsid w:val="60820545"/>
    <w:rsid w:val="60830691"/>
    <w:rsid w:val="608C1C3B"/>
    <w:rsid w:val="608C66DA"/>
    <w:rsid w:val="60932FCA"/>
    <w:rsid w:val="60934D78"/>
    <w:rsid w:val="60A71366"/>
    <w:rsid w:val="60AA4D26"/>
    <w:rsid w:val="60AE3960"/>
    <w:rsid w:val="60AF0D46"/>
    <w:rsid w:val="60B23FEB"/>
    <w:rsid w:val="60B30F76"/>
    <w:rsid w:val="60B46A9C"/>
    <w:rsid w:val="60BB1C90"/>
    <w:rsid w:val="60BB26AF"/>
    <w:rsid w:val="60BD3BA3"/>
    <w:rsid w:val="60BF3DBF"/>
    <w:rsid w:val="60C05441"/>
    <w:rsid w:val="60C1349F"/>
    <w:rsid w:val="60C2740B"/>
    <w:rsid w:val="60C5514D"/>
    <w:rsid w:val="60C94FD7"/>
    <w:rsid w:val="60C969EB"/>
    <w:rsid w:val="60CC64DC"/>
    <w:rsid w:val="60CD02DD"/>
    <w:rsid w:val="60CE7B5E"/>
    <w:rsid w:val="60D13AF2"/>
    <w:rsid w:val="60D159D9"/>
    <w:rsid w:val="60D55390"/>
    <w:rsid w:val="60D90FC0"/>
    <w:rsid w:val="60DA70C8"/>
    <w:rsid w:val="60DB04CD"/>
    <w:rsid w:val="60DB4EF2"/>
    <w:rsid w:val="60DC2CC3"/>
    <w:rsid w:val="60DD5FF3"/>
    <w:rsid w:val="60DF2F38"/>
    <w:rsid w:val="60DF7FBD"/>
    <w:rsid w:val="60E0328F"/>
    <w:rsid w:val="60E34F6F"/>
    <w:rsid w:val="60E43825"/>
    <w:rsid w:val="60E455D3"/>
    <w:rsid w:val="60E65A9C"/>
    <w:rsid w:val="60E67DEF"/>
    <w:rsid w:val="60E70C20"/>
    <w:rsid w:val="60E7224A"/>
    <w:rsid w:val="60EA02FE"/>
    <w:rsid w:val="60EA6962"/>
    <w:rsid w:val="60ED3212"/>
    <w:rsid w:val="60F12BA5"/>
    <w:rsid w:val="60F339BD"/>
    <w:rsid w:val="60F41EFF"/>
    <w:rsid w:val="60F75C4D"/>
    <w:rsid w:val="60FA2382"/>
    <w:rsid w:val="60FB291D"/>
    <w:rsid w:val="61001C59"/>
    <w:rsid w:val="61002660"/>
    <w:rsid w:val="61071CE7"/>
    <w:rsid w:val="61080CB6"/>
    <w:rsid w:val="610D1775"/>
    <w:rsid w:val="610E43FE"/>
    <w:rsid w:val="61111FBE"/>
    <w:rsid w:val="61127C0B"/>
    <w:rsid w:val="611D0AE5"/>
    <w:rsid w:val="61224BC2"/>
    <w:rsid w:val="61270436"/>
    <w:rsid w:val="612C6ACA"/>
    <w:rsid w:val="613148C5"/>
    <w:rsid w:val="61351007"/>
    <w:rsid w:val="61366398"/>
    <w:rsid w:val="613715D8"/>
    <w:rsid w:val="6138009E"/>
    <w:rsid w:val="613C7BA6"/>
    <w:rsid w:val="613F0304"/>
    <w:rsid w:val="6142054C"/>
    <w:rsid w:val="6142081C"/>
    <w:rsid w:val="61461415"/>
    <w:rsid w:val="61475B62"/>
    <w:rsid w:val="61477910"/>
    <w:rsid w:val="614813C1"/>
    <w:rsid w:val="614B5652"/>
    <w:rsid w:val="614D0462"/>
    <w:rsid w:val="61565DA5"/>
    <w:rsid w:val="615C160D"/>
    <w:rsid w:val="615D5386"/>
    <w:rsid w:val="6162299C"/>
    <w:rsid w:val="61652388"/>
    <w:rsid w:val="6166248C"/>
    <w:rsid w:val="61665FE8"/>
    <w:rsid w:val="61693D2A"/>
    <w:rsid w:val="616B337F"/>
    <w:rsid w:val="616F12F4"/>
    <w:rsid w:val="61702EF6"/>
    <w:rsid w:val="61706E67"/>
    <w:rsid w:val="61712450"/>
    <w:rsid w:val="61736957"/>
    <w:rsid w:val="61750921"/>
    <w:rsid w:val="61756303"/>
    <w:rsid w:val="6177221B"/>
    <w:rsid w:val="61785D1C"/>
    <w:rsid w:val="61786A54"/>
    <w:rsid w:val="617A7B14"/>
    <w:rsid w:val="617E77D6"/>
    <w:rsid w:val="61821A3C"/>
    <w:rsid w:val="61826B9A"/>
    <w:rsid w:val="61831E52"/>
    <w:rsid w:val="618648DC"/>
    <w:rsid w:val="61874EE4"/>
    <w:rsid w:val="618C07A2"/>
    <w:rsid w:val="618D40C0"/>
    <w:rsid w:val="61906C3F"/>
    <w:rsid w:val="61924188"/>
    <w:rsid w:val="61952D71"/>
    <w:rsid w:val="61954B1F"/>
    <w:rsid w:val="619863BE"/>
    <w:rsid w:val="619A0388"/>
    <w:rsid w:val="619C2EE2"/>
    <w:rsid w:val="61A26C5E"/>
    <w:rsid w:val="61A72788"/>
    <w:rsid w:val="61A94ACB"/>
    <w:rsid w:val="61AC33CD"/>
    <w:rsid w:val="61B2122D"/>
    <w:rsid w:val="61B256D1"/>
    <w:rsid w:val="61B639B9"/>
    <w:rsid w:val="61B72E0A"/>
    <w:rsid w:val="61BA6334"/>
    <w:rsid w:val="61BF3EC7"/>
    <w:rsid w:val="61C159AA"/>
    <w:rsid w:val="61C2108D"/>
    <w:rsid w:val="61C46511"/>
    <w:rsid w:val="61CA2A1B"/>
    <w:rsid w:val="61CE3B8D"/>
    <w:rsid w:val="61CF192D"/>
    <w:rsid w:val="61D5316E"/>
    <w:rsid w:val="61D82E86"/>
    <w:rsid w:val="61D95A9A"/>
    <w:rsid w:val="61DE64C6"/>
    <w:rsid w:val="61E646D3"/>
    <w:rsid w:val="61E84C4F"/>
    <w:rsid w:val="61EE4D5B"/>
    <w:rsid w:val="61F02AB0"/>
    <w:rsid w:val="61F037A0"/>
    <w:rsid w:val="61F03843"/>
    <w:rsid w:val="61F21F72"/>
    <w:rsid w:val="61F23D20"/>
    <w:rsid w:val="61F25ACE"/>
    <w:rsid w:val="61F5736C"/>
    <w:rsid w:val="61F74650"/>
    <w:rsid w:val="61FA7348"/>
    <w:rsid w:val="61FE19D4"/>
    <w:rsid w:val="6203395D"/>
    <w:rsid w:val="62061EA0"/>
    <w:rsid w:val="621023F8"/>
    <w:rsid w:val="621041A6"/>
    <w:rsid w:val="621150B7"/>
    <w:rsid w:val="62124F8E"/>
    <w:rsid w:val="621719D8"/>
    <w:rsid w:val="62185614"/>
    <w:rsid w:val="62195750"/>
    <w:rsid w:val="621E2D67"/>
    <w:rsid w:val="621E68C3"/>
    <w:rsid w:val="62222377"/>
    <w:rsid w:val="622639C9"/>
    <w:rsid w:val="622A170C"/>
    <w:rsid w:val="622C3041"/>
    <w:rsid w:val="62314848"/>
    <w:rsid w:val="6232299A"/>
    <w:rsid w:val="62334E9D"/>
    <w:rsid w:val="6234234D"/>
    <w:rsid w:val="623B464D"/>
    <w:rsid w:val="623B6A29"/>
    <w:rsid w:val="623F0400"/>
    <w:rsid w:val="624052BA"/>
    <w:rsid w:val="6241391E"/>
    <w:rsid w:val="62436174"/>
    <w:rsid w:val="624561A8"/>
    <w:rsid w:val="624A3B5C"/>
    <w:rsid w:val="624B3430"/>
    <w:rsid w:val="624F1172"/>
    <w:rsid w:val="62500A46"/>
    <w:rsid w:val="625247BE"/>
    <w:rsid w:val="62531BA6"/>
    <w:rsid w:val="62546789"/>
    <w:rsid w:val="62570027"/>
    <w:rsid w:val="6258163D"/>
    <w:rsid w:val="625978FB"/>
    <w:rsid w:val="625C2690"/>
    <w:rsid w:val="625C563D"/>
    <w:rsid w:val="62606EDB"/>
    <w:rsid w:val="6267026A"/>
    <w:rsid w:val="62682234"/>
    <w:rsid w:val="62683FE2"/>
    <w:rsid w:val="626B762E"/>
    <w:rsid w:val="627209BD"/>
    <w:rsid w:val="62727F12"/>
    <w:rsid w:val="627604AD"/>
    <w:rsid w:val="62770698"/>
    <w:rsid w:val="62772662"/>
    <w:rsid w:val="627961EF"/>
    <w:rsid w:val="627A14BA"/>
    <w:rsid w:val="627E7362"/>
    <w:rsid w:val="6280132C"/>
    <w:rsid w:val="62832BCA"/>
    <w:rsid w:val="628726BA"/>
    <w:rsid w:val="628B67A5"/>
    <w:rsid w:val="628C136C"/>
    <w:rsid w:val="628C5F22"/>
    <w:rsid w:val="62913539"/>
    <w:rsid w:val="629372B1"/>
    <w:rsid w:val="62960B4F"/>
    <w:rsid w:val="629923ED"/>
    <w:rsid w:val="629A2EA9"/>
    <w:rsid w:val="62A0098C"/>
    <w:rsid w:val="62A0151A"/>
    <w:rsid w:val="62A019CE"/>
    <w:rsid w:val="62A071DE"/>
    <w:rsid w:val="62A4520F"/>
    <w:rsid w:val="62A74B0A"/>
    <w:rsid w:val="62A768B8"/>
    <w:rsid w:val="62AA720C"/>
    <w:rsid w:val="62AB7833"/>
    <w:rsid w:val="62AC0373"/>
    <w:rsid w:val="62B334AF"/>
    <w:rsid w:val="62B919BD"/>
    <w:rsid w:val="62BB6808"/>
    <w:rsid w:val="62BF00A6"/>
    <w:rsid w:val="62C1727D"/>
    <w:rsid w:val="62CA07F9"/>
    <w:rsid w:val="62CA6A4B"/>
    <w:rsid w:val="62CD2D40"/>
    <w:rsid w:val="62CF0EFA"/>
    <w:rsid w:val="62D358FF"/>
    <w:rsid w:val="62D37E72"/>
    <w:rsid w:val="62DC4402"/>
    <w:rsid w:val="62E01DCA"/>
    <w:rsid w:val="62E278F0"/>
    <w:rsid w:val="62E41C87"/>
    <w:rsid w:val="62E60C60"/>
    <w:rsid w:val="62EF09C5"/>
    <w:rsid w:val="62F615EE"/>
    <w:rsid w:val="62F74AE0"/>
    <w:rsid w:val="62F871FA"/>
    <w:rsid w:val="62FA108C"/>
    <w:rsid w:val="62FC3643"/>
    <w:rsid w:val="62FD43A6"/>
    <w:rsid w:val="63035AB9"/>
    <w:rsid w:val="63091321"/>
    <w:rsid w:val="630C7063"/>
    <w:rsid w:val="630E33CB"/>
    <w:rsid w:val="63141A74"/>
    <w:rsid w:val="6315416A"/>
    <w:rsid w:val="63184BDD"/>
    <w:rsid w:val="631B72A6"/>
    <w:rsid w:val="631D301E"/>
    <w:rsid w:val="631D5A96"/>
    <w:rsid w:val="631E7638"/>
    <w:rsid w:val="631F28F3"/>
    <w:rsid w:val="632048BD"/>
    <w:rsid w:val="63212B0F"/>
    <w:rsid w:val="63220635"/>
    <w:rsid w:val="63250702"/>
    <w:rsid w:val="63274B3B"/>
    <w:rsid w:val="6329551F"/>
    <w:rsid w:val="632A1297"/>
    <w:rsid w:val="632A62E7"/>
    <w:rsid w:val="632B74E9"/>
    <w:rsid w:val="6330361E"/>
    <w:rsid w:val="63327860"/>
    <w:rsid w:val="6336041D"/>
    <w:rsid w:val="633700B0"/>
    <w:rsid w:val="63380AEB"/>
    <w:rsid w:val="633B16F7"/>
    <w:rsid w:val="63400ABB"/>
    <w:rsid w:val="63423F86"/>
    <w:rsid w:val="63495D5A"/>
    <w:rsid w:val="634B3C50"/>
    <w:rsid w:val="634C07DF"/>
    <w:rsid w:val="634C56B2"/>
    <w:rsid w:val="634C7460"/>
    <w:rsid w:val="634E4F86"/>
    <w:rsid w:val="634F1A44"/>
    <w:rsid w:val="635A392B"/>
    <w:rsid w:val="635D2B8F"/>
    <w:rsid w:val="635F7193"/>
    <w:rsid w:val="6361115D"/>
    <w:rsid w:val="636429FB"/>
    <w:rsid w:val="63644F37"/>
    <w:rsid w:val="63690012"/>
    <w:rsid w:val="636D6842"/>
    <w:rsid w:val="6371075E"/>
    <w:rsid w:val="63710EF6"/>
    <w:rsid w:val="637F4537"/>
    <w:rsid w:val="63884331"/>
    <w:rsid w:val="63892C19"/>
    <w:rsid w:val="63894210"/>
    <w:rsid w:val="638D1360"/>
    <w:rsid w:val="63901A42"/>
    <w:rsid w:val="6390559E"/>
    <w:rsid w:val="639257BA"/>
    <w:rsid w:val="63931444"/>
    <w:rsid w:val="63A1155A"/>
    <w:rsid w:val="63A4104A"/>
    <w:rsid w:val="63A579A2"/>
    <w:rsid w:val="63A728E8"/>
    <w:rsid w:val="63A903D2"/>
    <w:rsid w:val="63AB687C"/>
    <w:rsid w:val="63B514A9"/>
    <w:rsid w:val="63B864AB"/>
    <w:rsid w:val="63BC2837"/>
    <w:rsid w:val="63BC6393"/>
    <w:rsid w:val="63C139AA"/>
    <w:rsid w:val="63C70334"/>
    <w:rsid w:val="63C94602"/>
    <w:rsid w:val="63C96D02"/>
    <w:rsid w:val="63CB0806"/>
    <w:rsid w:val="63D27965"/>
    <w:rsid w:val="63D3192F"/>
    <w:rsid w:val="63D336DD"/>
    <w:rsid w:val="63D42F6E"/>
    <w:rsid w:val="63D52BD9"/>
    <w:rsid w:val="63D931FE"/>
    <w:rsid w:val="63E1229E"/>
    <w:rsid w:val="63EB6252"/>
    <w:rsid w:val="63EE0517"/>
    <w:rsid w:val="63F025AA"/>
    <w:rsid w:val="63F62B3F"/>
    <w:rsid w:val="63FE4BFE"/>
    <w:rsid w:val="6401149C"/>
    <w:rsid w:val="64011719"/>
    <w:rsid w:val="64012C27"/>
    <w:rsid w:val="64030466"/>
    <w:rsid w:val="64032214"/>
    <w:rsid w:val="64063620"/>
    <w:rsid w:val="640A35A3"/>
    <w:rsid w:val="640B10C9"/>
    <w:rsid w:val="640D6BEF"/>
    <w:rsid w:val="6410048D"/>
    <w:rsid w:val="641E0DFC"/>
    <w:rsid w:val="6424218B"/>
    <w:rsid w:val="642663F5"/>
    <w:rsid w:val="64270A9F"/>
    <w:rsid w:val="64287ECD"/>
    <w:rsid w:val="6431099A"/>
    <w:rsid w:val="643175DF"/>
    <w:rsid w:val="64360F64"/>
    <w:rsid w:val="643C1282"/>
    <w:rsid w:val="64430863"/>
    <w:rsid w:val="64485E79"/>
    <w:rsid w:val="64487C27"/>
    <w:rsid w:val="644D1A40"/>
    <w:rsid w:val="64550596"/>
    <w:rsid w:val="64560332"/>
    <w:rsid w:val="645A7AC5"/>
    <w:rsid w:val="645E744B"/>
    <w:rsid w:val="6461518D"/>
    <w:rsid w:val="646865D6"/>
    <w:rsid w:val="646C2758"/>
    <w:rsid w:val="64722EF6"/>
    <w:rsid w:val="64740A1C"/>
    <w:rsid w:val="647729F1"/>
    <w:rsid w:val="647C1FC7"/>
    <w:rsid w:val="647D4F59"/>
    <w:rsid w:val="647E2376"/>
    <w:rsid w:val="648275DD"/>
    <w:rsid w:val="64827F3D"/>
    <w:rsid w:val="64833355"/>
    <w:rsid w:val="6486074F"/>
    <w:rsid w:val="648843BF"/>
    <w:rsid w:val="64887EF2"/>
    <w:rsid w:val="648C220A"/>
    <w:rsid w:val="648D1ADE"/>
    <w:rsid w:val="648F3AA8"/>
    <w:rsid w:val="6491334D"/>
    <w:rsid w:val="64942E6C"/>
    <w:rsid w:val="64966BE4"/>
    <w:rsid w:val="64977085"/>
    <w:rsid w:val="64994927"/>
    <w:rsid w:val="649C61C5"/>
    <w:rsid w:val="649E018F"/>
    <w:rsid w:val="64A357A5"/>
    <w:rsid w:val="64A439AF"/>
    <w:rsid w:val="64A62BA0"/>
    <w:rsid w:val="64A70DF2"/>
    <w:rsid w:val="64B31765"/>
    <w:rsid w:val="64B4459B"/>
    <w:rsid w:val="64B52DFE"/>
    <w:rsid w:val="64B61035"/>
    <w:rsid w:val="64B74DAD"/>
    <w:rsid w:val="64B81251"/>
    <w:rsid w:val="64BB156F"/>
    <w:rsid w:val="64BD6867"/>
    <w:rsid w:val="64BE5FF1"/>
    <w:rsid w:val="64BF778C"/>
    <w:rsid w:val="64C33752"/>
    <w:rsid w:val="64C37BF6"/>
    <w:rsid w:val="64C71494"/>
    <w:rsid w:val="64CC0566"/>
    <w:rsid w:val="64CC06B4"/>
    <w:rsid w:val="64CC2606"/>
    <w:rsid w:val="64D36B71"/>
    <w:rsid w:val="64D439CB"/>
    <w:rsid w:val="64D62737"/>
    <w:rsid w:val="64D771FD"/>
    <w:rsid w:val="64D836A1"/>
    <w:rsid w:val="64DC7EF2"/>
    <w:rsid w:val="64E35BA2"/>
    <w:rsid w:val="64E536C8"/>
    <w:rsid w:val="64E54025"/>
    <w:rsid w:val="64E819B2"/>
    <w:rsid w:val="64ED07CF"/>
    <w:rsid w:val="64F00E12"/>
    <w:rsid w:val="64F3053C"/>
    <w:rsid w:val="64F32289"/>
    <w:rsid w:val="64F41B5D"/>
    <w:rsid w:val="64F81AF8"/>
    <w:rsid w:val="64FE57A9"/>
    <w:rsid w:val="6502071E"/>
    <w:rsid w:val="65073E19"/>
    <w:rsid w:val="65090005"/>
    <w:rsid w:val="650946B3"/>
    <w:rsid w:val="650E0E71"/>
    <w:rsid w:val="651017E4"/>
    <w:rsid w:val="65123D2A"/>
    <w:rsid w:val="65160E7A"/>
    <w:rsid w:val="65163A19"/>
    <w:rsid w:val="65167D25"/>
    <w:rsid w:val="651D7E2B"/>
    <w:rsid w:val="652C12F7"/>
    <w:rsid w:val="652D2588"/>
    <w:rsid w:val="652E1513"/>
    <w:rsid w:val="65311873"/>
    <w:rsid w:val="65332685"/>
    <w:rsid w:val="65341CC7"/>
    <w:rsid w:val="653527B9"/>
    <w:rsid w:val="653601C2"/>
    <w:rsid w:val="65387C9C"/>
    <w:rsid w:val="653B778C"/>
    <w:rsid w:val="653D3739"/>
    <w:rsid w:val="65401246"/>
    <w:rsid w:val="65405B6C"/>
    <w:rsid w:val="65420538"/>
    <w:rsid w:val="654523B9"/>
    <w:rsid w:val="65474383"/>
    <w:rsid w:val="65486D72"/>
    <w:rsid w:val="654F4FE5"/>
    <w:rsid w:val="65556AA0"/>
    <w:rsid w:val="65562818"/>
    <w:rsid w:val="655645C6"/>
    <w:rsid w:val="655774EE"/>
    <w:rsid w:val="655A1999"/>
    <w:rsid w:val="655B7E2E"/>
    <w:rsid w:val="655D7702"/>
    <w:rsid w:val="655F1B76"/>
    <w:rsid w:val="65683817"/>
    <w:rsid w:val="656942F9"/>
    <w:rsid w:val="656A0DDA"/>
    <w:rsid w:val="656A1E1F"/>
    <w:rsid w:val="656C403D"/>
    <w:rsid w:val="656E6CA1"/>
    <w:rsid w:val="65711400"/>
    <w:rsid w:val="65735178"/>
    <w:rsid w:val="65744A4C"/>
    <w:rsid w:val="65745B1C"/>
    <w:rsid w:val="65757142"/>
    <w:rsid w:val="657747EA"/>
    <w:rsid w:val="657D5FF6"/>
    <w:rsid w:val="658152FE"/>
    <w:rsid w:val="658729D1"/>
    <w:rsid w:val="658746F1"/>
    <w:rsid w:val="65896B41"/>
    <w:rsid w:val="6592268F"/>
    <w:rsid w:val="659375C8"/>
    <w:rsid w:val="65967804"/>
    <w:rsid w:val="65971F7A"/>
    <w:rsid w:val="659A175A"/>
    <w:rsid w:val="659C46CE"/>
    <w:rsid w:val="659F78B6"/>
    <w:rsid w:val="65A543AA"/>
    <w:rsid w:val="65A74E21"/>
    <w:rsid w:val="65B01F28"/>
    <w:rsid w:val="65B03CD6"/>
    <w:rsid w:val="65B75B1D"/>
    <w:rsid w:val="65BA2DA7"/>
    <w:rsid w:val="65C21C5B"/>
    <w:rsid w:val="65C50FC8"/>
    <w:rsid w:val="65C9123C"/>
    <w:rsid w:val="65D05B91"/>
    <w:rsid w:val="65D06126"/>
    <w:rsid w:val="65D11E9E"/>
    <w:rsid w:val="65D14AF0"/>
    <w:rsid w:val="65D26342"/>
    <w:rsid w:val="65D8322D"/>
    <w:rsid w:val="65D91FA1"/>
    <w:rsid w:val="65DA129E"/>
    <w:rsid w:val="65DA6FA5"/>
    <w:rsid w:val="65E10333"/>
    <w:rsid w:val="65EE0CA2"/>
    <w:rsid w:val="65F16B55"/>
    <w:rsid w:val="65F47DCA"/>
    <w:rsid w:val="65F77B57"/>
    <w:rsid w:val="65FE05DA"/>
    <w:rsid w:val="65FF1773"/>
    <w:rsid w:val="6602450C"/>
    <w:rsid w:val="6603474E"/>
    <w:rsid w:val="660364FC"/>
    <w:rsid w:val="660409AD"/>
    <w:rsid w:val="660D23A2"/>
    <w:rsid w:val="660D477E"/>
    <w:rsid w:val="660E4A25"/>
    <w:rsid w:val="661223FE"/>
    <w:rsid w:val="66154481"/>
    <w:rsid w:val="66157FDD"/>
    <w:rsid w:val="66196AEB"/>
    <w:rsid w:val="661B7749"/>
    <w:rsid w:val="661C5E23"/>
    <w:rsid w:val="661E05CA"/>
    <w:rsid w:val="661E1587"/>
    <w:rsid w:val="661F50D0"/>
    <w:rsid w:val="662D3578"/>
    <w:rsid w:val="66344907"/>
    <w:rsid w:val="6635067F"/>
    <w:rsid w:val="66365101"/>
    <w:rsid w:val="66373671"/>
    <w:rsid w:val="663761A5"/>
    <w:rsid w:val="66377F53"/>
    <w:rsid w:val="663D112D"/>
    <w:rsid w:val="663E488E"/>
    <w:rsid w:val="663E5786"/>
    <w:rsid w:val="663E7C71"/>
    <w:rsid w:val="66410DD2"/>
    <w:rsid w:val="66415276"/>
    <w:rsid w:val="66424AF5"/>
    <w:rsid w:val="66426389"/>
    <w:rsid w:val="664B39FF"/>
    <w:rsid w:val="664B523A"/>
    <w:rsid w:val="66557695"/>
    <w:rsid w:val="665925BF"/>
    <w:rsid w:val="665D5572"/>
    <w:rsid w:val="665F56FC"/>
    <w:rsid w:val="66644AC0"/>
    <w:rsid w:val="66692CAE"/>
    <w:rsid w:val="66696334"/>
    <w:rsid w:val="666D1BC7"/>
    <w:rsid w:val="666D366C"/>
    <w:rsid w:val="666E4D11"/>
    <w:rsid w:val="666E75D0"/>
    <w:rsid w:val="666F3B91"/>
    <w:rsid w:val="6672404B"/>
    <w:rsid w:val="667373DF"/>
    <w:rsid w:val="66750262"/>
    <w:rsid w:val="66770C98"/>
    <w:rsid w:val="667B2483"/>
    <w:rsid w:val="667C658D"/>
    <w:rsid w:val="667D1EB8"/>
    <w:rsid w:val="66811B16"/>
    <w:rsid w:val="668A09CB"/>
    <w:rsid w:val="668E5567"/>
    <w:rsid w:val="669013B2"/>
    <w:rsid w:val="669075D4"/>
    <w:rsid w:val="66935F55"/>
    <w:rsid w:val="66976C44"/>
    <w:rsid w:val="66990C0E"/>
    <w:rsid w:val="66994B74"/>
    <w:rsid w:val="669C24AC"/>
    <w:rsid w:val="669E13E4"/>
    <w:rsid w:val="669F3F4A"/>
    <w:rsid w:val="66A03D4A"/>
    <w:rsid w:val="66A3383B"/>
    <w:rsid w:val="66A355E9"/>
    <w:rsid w:val="66AF1AB9"/>
    <w:rsid w:val="66B5531C"/>
    <w:rsid w:val="66BE02E8"/>
    <w:rsid w:val="66C64D11"/>
    <w:rsid w:val="66CA6D4B"/>
    <w:rsid w:val="66CB03C8"/>
    <w:rsid w:val="66CC48EC"/>
    <w:rsid w:val="66D10ED0"/>
    <w:rsid w:val="66D15CCA"/>
    <w:rsid w:val="66D15D4D"/>
    <w:rsid w:val="66D34CD8"/>
    <w:rsid w:val="66D439F4"/>
    <w:rsid w:val="66D659BE"/>
    <w:rsid w:val="66D94DA6"/>
    <w:rsid w:val="66D959C1"/>
    <w:rsid w:val="66DE04FB"/>
    <w:rsid w:val="66E635BA"/>
    <w:rsid w:val="66EB246B"/>
    <w:rsid w:val="66EB68C0"/>
    <w:rsid w:val="66F2031E"/>
    <w:rsid w:val="66F44096"/>
    <w:rsid w:val="66F5053F"/>
    <w:rsid w:val="67006EDF"/>
    <w:rsid w:val="670219E7"/>
    <w:rsid w:val="67026F0D"/>
    <w:rsid w:val="670342D9"/>
    <w:rsid w:val="67042B58"/>
    <w:rsid w:val="67095D94"/>
    <w:rsid w:val="670E538D"/>
    <w:rsid w:val="670F1C02"/>
    <w:rsid w:val="67102791"/>
    <w:rsid w:val="67105719"/>
    <w:rsid w:val="671169F6"/>
    <w:rsid w:val="671309C0"/>
    <w:rsid w:val="67136EEC"/>
    <w:rsid w:val="67187780"/>
    <w:rsid w:val="671A0D9F"/>
    <w:rsid w:val="671E7EF0"/>
    <w:rsid w:val="671F5673"/>
    <w:rsid w:val="672506F4"/>
    <w:rsid w:val="672524A2"/>
    <w:rsid w:val="672900F8"/>
    <w:rsid w:val="673152EA"/>
    <w:rsid w:val="67337CA6"/>
    <w:rsid w:val="67354758"/>
    <w:rsid w:val="6736645D"/>
    <w:rsid w:val="673C6346"/>
    <w:rsid w:val="673D6D3E"/>
    <w:rsid w:val="673E148E"/>
    <w:rsid w:val="67412B6D"/>
    <w:rsid w:val="67431FB7"/>
    <w:rsid w:val="67513297"/>
    <w:rsid w:val="675B2367"/>
    <w:rsid w:val="675B5A1D"/>
    <w:rsid w:val="676034DA"/>
    <w:rsid w:val="6760797E"/>
    <w:rsid w:val="67671D58"/>
    <w:rsid w:val="67672ABA"/>
    <w:rsid w:val="676758FB"/>
    <w:rsid w:val="676964E9"/>
    <w:rsid w:val="676A7B00"/>
    <w:rsid w:val="676B07FC"/>
    <w:rsid w:val="676C04CB"/>
    <w:rsid w:val="676F1547"/>
    <w:rsid w:val="676F196F"/>
    <w:rsid w:val="67704073"/>
    <w:rsid w:val="67707325"/>
    <w:rsid w:val="67760F4F"/>
    <w:rsid w:val="67780823"/>
    <w:rsid w:val="67781497"/>
    <w:rsid w:val="677A208D"/>
    <w:rsid w:val="677B0314"/>
    <w:rsid w:val="677B6565"/>
    <w:rsid w:val="677C1791"/>
    <w:rsid w:val="677F5301"/>
    <w:rsid w:val="67803B7C"/>
    <w:rsid w:val="678155C1"/>
    <w:rsid w:val="6781623E"/>
    <w:rsid w:val="67826102"/>
    <w:rsid w:val="6784541A"/>
    <w:rsid w:val="67873C71"/>
    <w:rsid w:val="6787695C"/>
    <w:rsid w:val="6788563A"/>
    <w:rsid w:val="678E5BEE"/>
    <w:rsid w:val="67900263"/>
    <w:rsid w:val="67912200"/>
    <w:rsid w:val="67A05D70"/>
    <w:rsid w:val="67A25668"/>
    <w:rsid w:val="67A4786A"/>
    <w:rsid w:val="67A55390"/>
    <w:rsid w:val="67A55838"/>
    <w:rsid w:val="67A84C13"/>
    <w:rsid w:val="67B21056"/>
    <w:rsid w:val="67B210CD"/>
    <w:rsid w:val="67B37AAD"/>
    <w:rsid w:val="67BD092C"/>
    <w:rsid w:val="67C129F2"/>
    <w:rsid w:val="67C219AD"/>
    <w:rsid w:val="67C26639"/>
    <w:rsid w:val="67C41CBB"/>
    <w:rsid w:val="67C67F55"/>
    <w:rsid w:val="67C972D1"/>
    <w:rsid w:val="67CB129B"/>
    <w:rsid w:val="67CB474A"/>
    <w:rsid w:val="67D16185"/>
    <w:rsid w:val="67D1624A"/>
    <w:rsid w:val="67D363A2"/>
    <w:rsid w:val="67D84593"/>
    <w:rsid w:val="67D85379"/>
    <w:rsid w:val="67D85EAD"/>
    <w:rsid w:val="67DB165B"/>
    <w:rsid w:val="67DD2D7C"/>
    <w:rsid w:val="67DF78F2"/>
    <w:rsid w:val="67E10ABE"/>
    <w:rsid w:val="67E629B7"/>
    <w:rsid w:val="67E6347C"/>
    <w:rsid w:val="67EB4657"/>
    <w:rsid w:val="67EB7247"/>
    <w:rsid w:val="67EC296B"/>
    <w:rsid w:val="67EC74F1"/>
    <w:rsid w:val="67ED7463"/>
    <w:rsid w:val="67F26828"/>
    <w:rsid w:val="67F3434E"/>
    <w:rsid w:val="67F56318"/>
    <w:rsid w:val="67FA56DC"/>
    <w:rsid w:val="67FD6F7B"/>
    <w:rsid w:val="68053859"/>
    <w:rsid w:val="68063D2A"/>
    <w:rsid w:val="68077DF9"/>
    <w:rsid w:val="68093B71"/>
    <w:rsid w:val="680A6220"/>
    <w:rsid w:val="680C46FC"/>
    <w:rsid w:val="680E1188"/>
    <w:rsid w:val="68113AF2"/>
    <w:rsid w:val="681667A8"/>
    <w:rsid w:val="681F15ED"/>
    <w:rsid w:val="68204E99"/>
    <w:rsid w:val="68235B79"/>
    <w:rsid w:val="68240369"/>
    <w:rsid w:val="68262975"/>
    <w:rsid w:val="6828049B"/>
    <w:rsid w:val="68295FC1"/>
    <w:rsid w:val="682A08AC"/>
    <w:rsid w:val="682D508B"/>
    <w:rsid w:val="682E4CC6"/>
    <w:rsid w:val="68420E31"/>
    <w:rsid w:val="68497F13"/>
    <w:rsid w:val="684D75AC"/>
    <w:rsid w:val="68510BB2"/>
    <w:rsid w:val="68524327"/>
    <w:rsid w:val="685272C6"/>
    <w:rsid w:val="685748DD"/>
    <w:rsid w:val="685A7C67"/>
    <w:rsid w:val="685C3B5A"/>
    <w:rsid w:val="685C6397"/>
    <w:rsid w:val="68627974"/>
    <w:rsid w:val="68637725"/>
    <w:rsid w:val="68670F9B"/>
    <w:rsid w:val="68684436"/>
    <w:rsid w:val="68686BBC"/>
    <w:rsid w:val="686A0AB4"/>
    <w:rsid w:val="686B660F"/>
    <w:rsid w:val="687234C5"/>
    <w:rsid w:val="6878373F"/>
    <w:rsid w:val="687E098D"/>
    <w:rsid w:val="687F10DD"/>
    <w:rsid w:val="687F623A"/>
    <w:rsid w:val="68802085"/>
    <w:rsid w:val="68817BAC"/>
    <w:rsid w:val="68822D13"/>
    <w:rsid w:val="68863414"/>
    <w:rsid w:val="688651C2"/>
    <w:rsid w:val="68866F70"/>
    <w:rsid w:val="688900A7"/>
    <w:rsid w:val="688D02FE"/>
    <w:rsid w:val="688F051A"/>
    <w:rsid w:val="68902020"/>
    <w:rsid w:val="68907DEF"/>
    <w:rsid w:val="68922C4A"/>
    <w:rsid w:val="68953657"/>
    <w:rsid w:val="68973629"/>
    <w:rsid w:val="689773CF"/>
    <w:rsid w:val="689934D5"/>
    <w:rsid w:val="68A67612"/>
    <w:rsid w:val="68B24209"/>
    <w:rsid w:val="68B358F3"/>
    <w:rsid w:val="68B4049D"/>
    <w:rsid w:val="68B735CD"/>
    <w:rsid w:val="68B77CE0"/>
    <w:rsid w:val="68BA7285"/>
    <w:rsid w:val="68BA7AA0"/>
    <w:rsid w:val="68BB130F"/>
    <w:rsid w:val="68BC5088"/>
    <w:rsid w:val="68C006D4"/>
    <w:rsid w:val="68C22BD8"/>
    <w:rsid w:val="68C33D20"/>
    <w:rsid w:val="68CB37EC"/>
    <w:rsid w:val="68CF6D05"/>
    <w:rsid w:val="68D0643D"/>
    <w:rsid w:val="68D20407"/>
    <w:rsid w:val="68D218ED"/>
    <w:rsid w:val="68D73C6F"/>
    <w:rsid w:val="68D75A1D"/>
    <w:rsid w:val="68D859B0"/>
    <w:rsid w:val="68DB032D"/>
    <w:rsid w:val="68DE4FFE"/>
    <w:rsid w:val="68DE6DAC"/>
    <w:rsid w:val="68E54AE2"/>
    <w:rsid w:val="68E72A35"/>
    <w:rsid w:val="68E81589"/>
    <w:rsid w:val="68E95500"/>
    <w:rsid w:val="68EA5751"/>
    <w:rsid w:val="68EB6230"/>
    <w:rsid w:val="68ED2046"/>
    <w:rsid w:val="68F51361"/>
    <w:rsid w:val="68F71C1C"/>
    <w:rsid w:val="68FE744E"/>
    <w:rsid w:val="69092A23"/>
    <w:rsid w:val="690A70D9"/>
    <w:rsid w:val="690E177A"/>
    <w:rsid w:val="69110F2F"/>
    <w:rsid w:val="69172F7A"/>
    <w:rsid w:val="691C5414"/>
    <w:rsid w:val="691D640F"/>
    <w:rsid w:val="6922138F"/>
    <w:rsid w:val="6922313D"/>
    <w:rsid w:val="6926423B"/>
    <w:rsid w:val="69280EC0"/>
    <w:rsid w:val="69286279"/>
    <w:rsid w:val="692A0243"/>
    <w:rsid w:val="692B6F8C"/>
    <w:rsid w:val="692D181F"/>
    <w:rsid w:val="692D6DB1"/>
    <w:rsid w:val="693115D2"/>
    <w:rsid w:val="693370F8"/>
    <w:rsid w:val="69362744"/>
    <w:rsid w:val="69365825"/>
    <w:rsid w:val="69390E7E"/>
    <w:rsid w:val="69392234"/>
    <w:rsid w:val="693F5D45"/>
    <w:rsid w:val="694015B6"/>
    <w:rsid w:val="694A738F"/>
    <w:rsid w:val="694E199B"/>
    <w:rsid w:val="69567E48"/>
    <w:rsid w:val="695E31BD"/>
    <w:rsid w:val="69611E61"/>
    <w:rsid w:val="69670B4F"/>
    <w:rsid w:val="696A4D66"/>
    <w:rsid w:val="696B68FD"/>
    <w:rsid w:val="696B71DF"/>
    <w:rsid w:val="696E6382"/>
    <w:rsid w:val="696E6DDB"/>
    <w:rsid w:val="696F20FA"/>
    <w:rsid w:val="697069E5"/>
    <w:rsid w:val="697638C4"/>
    <w:rsid w:val="69790883"/>
    <w:rsid w:val="697B2002"/>
    <w:rsid w:val="697B5C3E"/>
    <w:rsid w:val="69842FE4"/>
    <w:rsid w:val="6984404D"/>
    <w:rsid w:val="69886D18"/>
    <w:rsid w:val="698A2A90"/>
    <w:rsid w:val="698C05B6"/>
    <w:rsid w:val="698E07D2"/>
    <w:rsid w:val="698E2580"/>
    <w:rsid w:val="69906E99"/>
    <w:rsid w:val="699364AD"/>
    <w:rsid w:val="699650D5"/>
    <w:rsid w:val="69992EAD"/>
    <w:rsid w:val="69994585"/>
    <w:rsid w:val="699F1F9F"/>
    <w:rsid w:val="69A62BA0"/>
    <w:rsid w:val="69A7779B"/>
    <w:rsid w:val="69AE2455"/>
    <w:rsid w:val="69B0699A"/>
    <w:rsid w:val="69B144C0"/>
    <w:rsid w:val="69B63885"/>
    <w:rsid w:val="69BA15C7"/>
    <w:rsid w:val="69BA2CF3"/>
    <w:rsid w:val="69BB0E9B"/>
    <w:rsid w:val="69BD2E65"/>
    <w:rsid w:val="69BD4C13"/>
    <w:rsid w:val="69BE2739"/>
    <w:rsid w:val="69BF7745"/>
    <w:rsid w:val="69C75A92"/>
    <w:rsid w:val="69CC227F"/>
    <w:rsid w:val="69CF4947"/>
    <w:rsid w:val="69D048B4"/>
    <w:rsid w:val="69D361E5"/>
    <w:rsid w:val="69DE3DEE"/>
    <w:rsid w:val="69DE7AB7"/>
    <w:rsid w:val="69E91EAC"/>
    <w:rsid w:val="69EB7C4A"/>
    <w:rsid w:val="69EC058D"/>
    <w:rsid w:val="69EC54F9"/>
    <w:rsid w:val="69EF2A96"/>
    <w:rsid w:val="69F04FE9"/>
    <w:rsid w:val="69F83E9D"/>
    <w:rsid w:val="69F86FD8"/>
    <w:rsid w:val="69F91549"/>
    <w:rsid w:val="69FC0BF3"/>
    <w:rsid w:val="69FD14B4"/>
    <w:rsid w:val="69FF522C"/>
    <w:rsid w:val="6A02664A"/>
    <w:rsid w:val="6A046D28"/>
    <w:rsid w:val="6A0960AB"/>
    <w:rsid w:val="6A0C7949"/>
    <w:rsid w:val="6A0F2C87"/>
    <w:rsid w:val="6A16109D"/>
    <w:rsid w:val="6A1B3961"/>
    <w:rsid w:val="6A1C5859"/>
    <w:rsid w:val="6A2151A2"/>
    <w:rsid w:val="6A274783"/>
    <w:rsid w:val="6A2904FB"/>
    <w:rsid w:val="6A2949E1"/>
    <w:rsid w:val="6A2E5B11"/>
    <w:rsid w:val="6A31115D"/>
    <w:rsid w:val="6A3B2011"/>
    <w:rsid w:val="6A3D6259"/>
    <w:rsid w:val="6A3F333A"/>
    <w:rsid w:val="6A415844"/>
    <w:rsid w:val="6A4B221F"/>
    <w:rsid w:val="6A535578"/>
    <w:rsid w:val="6A5F3F1C"/>
    <w:rsid w:val="6A7431D0"/>
    <w:rsid w:val="6A75729C"/>
    <w:rsid w:val="6A766A07"/>
    <w:rsid w:val="6A792507"/>
    <w:rsid w:val="6A7A16B8"/>
    <w:rsid w:val="6A7B7921"/>
    <w:rsid w:val="6A7D5194"/>
    <w:rsid w:val="6A7D73D1"/>
    <w:rsid w:val="6A7E5EDE"/>
    <w:rsid w:val="6A7F011B"/>
    <w:rsid w:val="6A807794"/>
    <w:rsid w:val="6A815C41"/>
    <w:rsid w:val="6A842AF3"/>
    <w:rsid w:val="6A860B92"/>
    <w:rsid w:val="6A8614A9"/>
    <w:rsid w:val="6A880711"/>
    <w:rsid w:val="6A8D2604"/>
    <w:rsid w:val="6A8F3A58"/>
    <w:rsid w:val="6A8F3DD9"/>
    <w:rsid w:val="6A90569A"/>
    <w:rsid w:val="6A93238C"/>
    <w:rsid w:val="6A971908"/>
    <w:rsid w:val="6A9C2A7B"/>
    <w:rsid w:val="6AA2373D"/>
    <w:rsid w:val="6AA302AD"/>
    <w:rsid w:val="6AA47EF5"/>
    <w:rsid w:val="6AA51579"/>
    <w:rsid w:val="6AAA163C"/>
    <w:rsid w:val="6AB37DC4"/>
    <w:rsid w:val="6AB8620D"/>
    <w:rsid w:val="6AB93957"/>
    <w:rsid w:val="6AB976EA"/>
    <w:rsid w:val="6ABA55F7"/>
    <w:rsid w:val="6ABA5BC7"/>
    <w:rsid w:val="6ABC6847"/>
    <w:rsid w:val="6AC55B76"/>
    <w:rsid w:val="6AC63758"/>
    <w:rsid w:val="6ACC6CC5"/>
    <w:rsid w:val="6AD06BC8"/>
    <w:rsid w:val="6AD20B92"/>
    <w:rsid w:val="6AD9782B"/>
    <w:rsid w:val="6ADB2B79"/>
    <w:rsid w:val="6ADE3093"/>
    <w:rsid w:val="6ADF6DD2"/>
    <w:rsid w:val="6AE12B83"/>
    <w:rsid w:val="6AE34B4E"/>
    <w:rsid w:val="6AE508C6"/>
    <w:rsid w:val="6AEA2018"/>
    <w:rsid w:val="6AEB755E"/>
    <w:rsid w:val="6AF503DD"/>
    <w:rsid w:val="6AF9360B"/>
    <w:rsid w:val="6AFA59F3"/>
    <w:rsid w:val="6AFE65C3"/>
    <w:rsid w:val="6B00125C"/>
    <w:rsid w:val="6B014FD4"/>
    <w:rsid w:val="6B056872"/>
    <w:rsid w:val="6B1445D8"/>
    <w:rsid w:val="6B174727"/>
    <w:rsid w:val="6B1747F7"/>
    <w:rsid w:val="6B1F76F3"/>
    <w:rsid w:val="6B204D94"/>
    <w:rsid w:val="6B23319C"/>
    <w:rsid w:val="6B234F4A"/>
    <w:rsid w:val="6B240D70"/>
    <w:rsid w:val="6B2417A8"/>
    <w:rsid w:val="6B3809FD"/>
    <w:rsid w:val="6B3B04E6"/>
    <w:rsid w:val="6B42528B"/>
    <w:rsid w:val="6B43326F"/>
    <w:rsid w:val="6B4C5BD7"/>
    <w:rsid w:val="6B4D2604"/>
    <w:rsid w:val="6B4E646B"/>
    <w:rsid w:val="6B502DBF"/>
    <w:rsid w:val="6B5B0B88"/>
    <w:rsid w:val="6B610173"/>
    <w:rsid w:val="6B612600"/>
    <w:rsid w:val="6B6537B4"/>
    <w:rsid w:val="6B6A5F08"/>
    <w:rsid w:val="6B6E2568"/>
    <w:rsid w:val="6B6F1F3D"/>
    <w:rsid w:val="6B6F63E1"/>
    <w:rsid w:val="6B721E05"/>
    <w:rsid w:val="6B7534D3"/>
    <w:rsid w:val="6B761E0E"/>
    <w:rsid w:val="6B777044"/>
    <w:rsid w:val="6B796319"/>
    <w:rsid w:val="6B7C465A"/>
    <w:rsid w:val="6B7E06E8"/>
    <w:rsid w:val="6B8208FC"/>
    <w:rsid w:val="6B864C8E"/>
    <w:rsid w:val="6B8754D9"/>
    <w:rsid w:val="6B8A6D77"/>
    <w:rsid w:val="6B8D443C"/>
    <w:rsid w:val="6B916358"/>
    <w:rsid w:val="6B961BC0"/>
    <w:rsid w:val="6B9D77F3"/>
    <w:rsid w:val="6B9E0A74"/>
    <w:rsid w:val="6B9E2823"/>
    <w:rsid w:val="6BA83168"/>
    <w:rsid w:val="6BA8544F"/>
    <w:rsid w:val="6BB17228"/>
    <w:rsid w:val="6BB362CE"/>
    <w:rsid w:val="6BB41759"/>
    <w:rsid w:val="6BB64010"/>
    <w:rsid w:val="6BB65DBE"/>
    <w:rsid w:val="6BBB1626"/>
    <w:rsid w:val="6BBB3D89"/>
    <w:rsid w:val="6BC140B0"/>
    <w:rsid w:val="6BC31018"/>
    <w:rsid w:val="6BC32289"/>
    <w:rsid w:val="6BC77FCB"/>
    <w:rsid w:val="6BCB7ABB"/>
    <w:rsid w:val="6BCE1C03"/>
    <w:rsid w:val="6BCE3108"/>
    <w:rsid w:val="6BCE74C6"/>
    <w:rsid w:val="6BD21C93"/>
    <w:rsid w:val="6BD34FDC"/>
    <w:rsid w:val="6BD36AAB"/>
    <w:rsid w:val="6BD46244"/>
    <w:rsid w:val="6BDD1004"/>
    <w:rsid w:val="6BE04BDA"/>
    <w:rsid w:val="6BE513EB"/>
    <w:rsid w:val="6BE91CF0"/>
    <w:rsid w:val="6BEE5558"/>
    <w:rsid w:val="6BEE7306"/>
    <w:rsid w:val="6BF13192"/>
    <w:rsid w:val="6BF2198C"/>
    <w:rsid w:val="6BF87119"/>
    <w:rsid w:val="6BFB7C75"/>
    <w:rsid w:val="6BFD31F6"/>
    <w:rsid w:val="6BFE1D18"/>
    <w:rsid w:val="6BFF23F3"/>
    <w:rsid w:val="6C00528B"/>
    <w:rsid w:val="6C040838"/>
    <w:rsid w:val="6C1005B9"/>
    <w:rsid w:val="6C111246"/>
    <w:rsid w:val="6C133210"/>
    <w:rsid w:val="6C172D01"/>
    <w:rsid w:val="6C1825D5"/>
    <w:rsid w:val="6C1B20C5"/>
    <w:rsid w:val="6C1C0317"/>
    <w:rsid w:val="6C1D408F"/>
    <w:rsid w:val="6C2157F2"/>
    <w:rsid w:val="6C223454"/>
    <w:rsid w:val="6C254748"/>
    <w:rsid w:val="6C292B66"/>
    <w:rsid w:val="6C3413BA"/>
    <w:rsid w:val="6C354F35"/>
    <w:rsid w:val="6C363DC6"/>
    <w:rsid w:val="6C382176"/>
    <w:rsid w:val="6C382C77"/>
    <w:rsid w:val="6C3D028D"/>
    <w:rsid w:val="6C3E3329"/>
    <w:rsid w:val="6C3F5DB4"/>
    <w:rsid w:val="6C427652"/>
    <w:rsid w:val="6C4355FB"/>
    <w:rsid w:val="6C496C32"/>
    <w:rsid w:val="6C501D6F"/>
    <w:rsid w:val="6C505FB6"/>
    <w:rsid w:val="6C557E95"/>
    <w:rsid w:val="6C5816C4"/>
    <w:rsid w:val="6C586E75"/>
    <w:rsid w:val="6C59119B"/>
    <w:rsid w:val="6C5E0752"/>
    <w:rsid w:val="6C5F1FB2"/>
    <w:rsid w:val="6C627CF4"/>
    <w:rsid w:val="6C64581A"/>
    <w:rsid w:val="6C691739"/>
    <w:rsid w:val="6C6B4DFB"/>
    <w:rsid w:val="6C6B7D14"/>
    <w:rsid w:val="6C6D2921"/>
    <w:rsid w:val="6C6E48EB"/>
    <w:rsid w:val="6C725C7A"/>
    <w:rsid w:val="6C732E5F"/>
    <w:rsid w:val="6C755C79"/>
    <w:rsid w:val="6C770E7C"/>
    <w:rsid w:val="6C787517"/>
    <w:rsid w:val="6C830396"/>
    <w:rsid w:val="6C835C5D"/>
    <w:rsid w:val="6C845EBC"/>
    <w:rsid w:val="6C865790"/>
    <w:rsid w:val="6C88775B"/>
    <w:rsid w:val="6C9360FF"/>
    <w:rsid w:val="6C953C26"/>
    <w:rsid w:val="6C9A56E0"/>
    <w:rsid w:val="6CA43E69"/>
    <w:rsid w:val="6CA45C17"/>
    <w:rsid w:val="6CAA294A"/>
    <w:rsid w:val="6CAB197C"/>
    <w:rsid w:val="6CAB6D2E"/>
    <w:rsid w:val="6CAD447B"/>
    <w:rsid w:val="6CAD71C1"/>
    <w:rsid w:val="6CB26586"/>
    <w:rsid w:val="6CB5251A"/>
    <w:rsid w:val="6CB56076"/>
    <w:rsid w:val="6CB90ABC"/>
    <w:rsid w:val="6CB95B66"/>
    <w:rsid w:val="6CC12C6C"/>
    <w:rsid w:val="6CC664D5"/>
    <w:rsid w:val="6CCD1611"/>
    <w:rsid w:val="6CCE17B1"/>
    <w:rsid w:val="6CD01102"/>
    <w:rsid w:val="6CD02EB0"/>
    <w:rsid w:val="6CD72490"/>
    <w:rsid w:val="6CD81D64"/>
    <w:rsid w:val="6CDA5ADC"/>
    <w:rsid w:val="6CDD0847"/>
    <w:rsid w:val="6CE1330F"/>
    <w:rsid w:val="6CE1682B"/>
    <w:rsid w:val="6CE305BE"/>
    <w:rsid w:val="6CEC2F2C"/>
    <w:rsid w:val="6CF058E3"/>
    <w:rsid w:val="6CF44DF0"/>
    <w:rsid w:val="6CF546C4"/>
    <w:rsid w:val="6CF941B4"/>
    <w:rsid w:val="6CFB410E"/>
    <w:rsid w:val="6CFC3CA5"/>
    <w:rsid w:val="6D001DC1"/>
    <w:rsid w:val="6D0249F4"/>
    <w:rsid w:val="6D064B23"/>
    <w:rsid w:val="6D085F70"/>
    <w:rsid w:val="6D1A412B"/>
    <w:rsid w:val="6D1C4347"/>
    <w:rsid w:val="6D1C7149"/>
    <w:rsid w:val="6D1E1E6D"/>
    <w:rsid w:val="6D2531FB"/>
    <w:rsid w:val="6D282CEC"/>
    <w:rsid w:val="6D2C1659"/>
    <w:rsid w:val="6D312BC3"/>
    <w:rsid w:val="6D345881"/>
    <w:rsid w:val="6D396CA7"/>
    <w:rsid w:val="6D3E4D23"/>
    <w:rsid w:val="6D3F4BDC"/>
    <w:rsid w:val="6D4E5965"/>
    <w:rsid w:val="6D583155"/>
    <w:rsid w:val="6D594A87"/>
    <w:rsid w:val="6D5B09CB"/>
    <w:rsid w:val="6D5D0BE7"/>
    <w:rsid w:val="6D655CEE"/>
    <w:rsid w:val="6D6802E3"/>
    <w:rsid w:val="6D69041D"/>
    <w:rsid w:val="6D6B0750"/>
    <w:rsid w:val="6D6F45E7"/>
    <w:rsid w:val="6D73286E"/>
    <w:rsid w:val="6D761CA9"/>
    <w:rsid w:val="6D7A6383"/>
    <w:rsid w:val="6D7B6987"/>
    <w:rsid w:val="6D7D60AA"/>
    <w:rsid w:val="6D8040A9"/>
    <w:rsid w:val="6D8223FC"/>
    <w:rsid w:val="6D8B4FC7"/>
    <w:rsid w:val="6D956FE6"/>
    <w:rsid w:val="6D970FD9"/>
    <w:rsid w:val="6D9A2F35"/>
    <w:rsid w:val="6D9A3A40"/>
    <w:rsid w:val="6D9A4072"/>
    <w:rsid w:val="6DA11374"/>
    <w:rsid w:val="6DA46EA7"/>
    <w:rsid w:val="6DA73C10"/>
    <w:rsid w:val="6DA83391"/>
    <w:rsid w:val="6DA87988"/>
    <w:rsid w:val="6DAE5376"/>
    <w:rsid w:val="6DB12CE1"/>
    <w:rsid w:val="6DB176C3"/>
    <w:rsid w:val="6DB42229"/>
    <w:rsid w:val="6DB868EA"/>
    <w:rsid w:val="6DBB316F"/>
    <w:rsid w:val="6DC04B8A"/>
    <w:rsid w:val="6DC7794B"/>
    <w:rsid w:val="6DC80CEB"/>
    <w:rsid w:val="6DCA2A9C"/>
    <w:rsid w:val="6DCA5B51"/>
    <w:rsid w:val="6DCE5641"/>
    <w:rsid w:val="6DD16EDF"/>
    <w:rsid w:val="6DD211D8"/>
    <w:rsid w:val="6DD332CF"/>
    <w:rsid w:val="6DD37288"/>
    <w:rsid w:val="6DDC3DE9"/>
    <w:rsid w:val="6DDD45E2"/>
    <w:rsid w:val="6DDE5180"/>
    <w:rsid w:val="6DE17501"/>
    <w:rsid w:val="6DE2733E"/>
    <w:rsid w:val="6DE41DDE"/>
    <w:rsid w:val="6DE94229"/>
    <w:rsid w:val="6DF572B5"/>
    <w:rsid w:val="6E005AB1"/>
    <w:rsid w:val="6E024D4F"/>
    <w:rsid w:val="6E0472B5"/>
    <w:rsid w:val="6E072334"/>
    <w:rsid w:val="6E072901"/>
    <w:rsid w:val="6E105C5A"/>
    <w:rsid w:val="6E1312A6"/>
    <w:rsid w:val="6E161378"/>
    <w:rsid w:val="6E162B44"/>
    <w:rsid w:val="6E197DA1"/>
    <w:rsid w:val="6E1A6AD8"/>
    <w:rsid w:val="6E1D3E88"/>
    <w:rsid w:val="6E21168C"/>
    <w:rsid w:val="6E220756"/>
    <w:rsid w:val="6E2434B3"/>
    <w:rsid w:val="6E263F6E"/>
    <w:rsid w:val="6E267554"/>
    <w:rsid w:val="6E2C6902"/>
    <w:rsid w:val="6E2E4332"/>
    <w:rsid w:val="6E314013"/>
    <w:rsid w:val="6E324D0D"/>
    <w:rsid w:val="6E3336F6"/>
    <w:rsid w:val="6E3409BE"/>
    <w:rsid w:val="6E383D57"/>
    <w:rsid w:val="6E3938C7"/>
    <w:rsid w:val="6E3B07FD"/>
    <w:rsid w:val="6E3C7C0A"/>
    <w:rsid w:val="6E3F4030"/>
    <w:rsid w:val="6E427DDD"/>
    <w:rsid w:val="6E46167B"/>
    <w:rsid w:val="6E4905AE"/>
    <w:rsid w:val="6E4B0D2E"/>
    <w:rsid w:val="6E4C58C4"/>
    <w:rsid w:val="6E4F6056"/>
    <w:rsid w:val="6E5024FA"/>
    <w:rsid w:val="6E5042A8"/>
    <w:rsid w:val="6E526272"/>
    <w:rsid w:val="6E5378F4"/>
    <w:rsid w:val="6E5A6ED5"/>
    <w:rsid w:val="6E5F098F"/>
    <w:rsid w:val="6E663B62"/>
    <w:rsid w:val="6E6935BC"/>
    <w:rsid w:val="6E6947AD"/>
    <w:rsid w:val="6E6B222A"/>
    <w:rsid w:val="6E6B699A"/>
    <w:rsid w:val="6E71421E"/>
    <w:rsid w:val="6E731D44"/>
    <w:rsid w:val="6E7A7577"/>
    <w:rsid w:val="6E827A5B"/>
    <w:rsid w:val="6E833036"/>
    <w:rsid w:val="6E867CCA"/>
    <w:rsid w:val="6E8B1784"/>
    <w:rsid w:val="6E8C37E8"/>
    <w:rsid w:val="6E9248C1"/>
    <w:rsid w:val="6E9833FF"/>
    <w:rsid w:val="6E9B31E9"/>
    <w:rsid w:val="6E9C331C"/>
    <w:rsid w:val="6E9C573F"/>
    <w:rsid w:val="6EA2087C"/>
    <w:rsid w:val="6EA36415"/>
    <w:rsid w:val="6EA36ACE"/>
    <w:rsid w:val="6EA36E24"/>
    <w:rsid w:val="6EA463A2"/>
    <w:rsid w:val="6EA85370"/>
    <w:rsid w:val="6EB5235D"/>
    <w:rsid w:val="6EB67355"/>
    <w:rsid w:val="6EB760D5"/>
    <w:rsid w:val="6EBA27FC"/>
    <w:rsid w:val="6EBB05F6"/>
    <w:rsid w:val="6EBE0965"/>
    <w:rsid w:val="6EBE56B6"/>
    <w:rsid w:val="6EC16F54"/>
    <w:rsid w:val="6EC66318"/>
    <w:rsid w:val="6EC735DA"/>
    <w:rsid w:val="6EC91D9F"/>
    <w:rsid w:val="6ECD3D67"/>
    <w:rsid w:val="6ECD7034"/>
    <w:rsid w:val="6ED21161"/>
    <w:rsid w:val="6ED337F4"/>
    <w:rsid w:val="6ED54F96"/>
    <w:rsid w:val="6ED67B15"/>
    <w:rsid w:val="6ED72B2B"/>
    <w:rsid w:val="6ED82907"/>
    <w:rsid w:val="6ED8429D"/>
    <w:rsid w:val="6EDC6D25"/>
    <w:rsid w:val="6EDD18B4"/>
    <w:rsid w:val="6EDF6B99"/>
    <w:rsid w:val="6EDF73DA"/>
    <w:rsid w:val="6EE13152"/>
    <w:rsid w:val="6EE32DA6"/>
    <w:rsid w:val="6EE40E94"/>
    <w:rsid w:val="6EE51CE5"/>
    <w:rsid w:val="6EEB2223"/>
    <w:rsid w:val="6EEB3752"/>
    <w:rsid w:val="6EEB6121"/>
    <w:rsid w:val="6EED5F9B"/>
    <w:rsid w:val="6EF45B51"/>
    <w:rsid w:val="6EF55B4D"/>
    <w:rsid w:val="6EF70BC7"/>
    <w:rsid w:val="6EF87108"/>
    <w:rsid w:val="6EF9030F"/>
    <w:rsid w:val="6EFD46DE"/>
    <w:rsid w:val="6F0137F4"/>
    <w:rsid w:val="6F01443B"/>
    <w:rsid w:val="6F015B9D"/>
    <w:rsid w:val="6F03131A"/>
    <w:rsid w:val="6F050828"/>
    <w:rsid w:val="6F0A08FB"/>
    <w:rsid w:val="6F1A5AB1"/>
    <w:rsid w:val="6F1C418A"/>
    <w:rsid w:val="6F257D2A"/>
    <w:rsid w:val="6F265009"/>
    <w:rsid w:val="6F2B0871"/>
    <w:rsid w:val="6F2B261F"/>
    <w:rsid w:val="6F347726"/>
    <w:rsid w:val="6F3A592B"/>
    <w:rsid w:val="6F3B4F58"/>
    <w:rsid w:val="6F3B53E9"/>
    <w:rsid w:val="6F3D1CDC"/>
    <w:rsid w:val="6F3E2352"/>
    <w:rsid w:val="6F402A64"/>
    <w:rsid w:val="6F410095"/>
    <w:rsid w:val="6F4619AA"/>
    <w:rsid w:val="6F477302"/>
    <w:rsid w:val="6F5558EE"/>
    <w:rsid w:val="6F566A26"/>
    <w:rsid w:val="6F5971A6"/>
    <w:rsid w:val="6F5C4ECE"/>
    <w:rsid w:val="6F5E0C47"/>
    <w:rsid w:val="6F6618A9"/>
    <w:rsid w:val="6F6B5112"/>
    <w:rsid w:val="6F6E4788"/>
    <w:rsid w:val="6F71097A"/>
    <w:rsid w:val="6F7A7850"/>
    <w:rsid w:val="6F7B5D28"/>
    <w:rsid w:val="6F7C10CD"/>
    <w:rsid w:val="6F8306AD"/>
    <w:rsid w:val="6F885CC3"/>
    <w:rsid w:val="6F887A72"/>
    <w:rsid w:val="6F8A7925"/>
    <w:rsid w:val="6F8A7CAA"/>
    <w:rsid w:val="6F906926"/>
    <w:rsid w:val="6F946416"/>
    <w:rsid w:val="6F992945"/>
    <w:rsid w:val="6F993C57"/>
    <w:rsid w:val="6FA0300D"/>
    <w:rsid w:val="6FA04DBB"/>
    <w:rsid w:val="6FA3345B"/>
    <w:rsid w:val="6FA50623"/>
    <w:rsid w:val="6FAA3E8C"/>
    <w:rsid w:val="6FAA79E8"/>
    <w:rsid w:val="6FAD572A"/>
    <w:rsid w:val="6FB40BCD"/>
    <w:rsid w:val="6FB44CB7"/>
    <w:rsid w:val="6FB62831"/>
    <w:rsid w:val="6FB72105"/>
    <w:rsid w:val="6FB851CB"/>
    <w:rsid w:val="6FBE16E5"/>
    <w:rsid w:val="6FC22F83"/>
    <w:rsid w:val="6FC34184"/>
    <w:rsid w:val="6FC64C41"/>
    <w:rsid w:val="6FC75AD6"/>
    <w:rsid w:val="6FCA1E38"/>
    <w:rsid w:val="6FCD630C"/>
    <w:rsid w:val="6FD252FB"/>
    <w:rsid w:val="6FD44A65"/>
    <w:rsid w:val="6FD46FF1"/>
    <w:rsid w:val="6FD57B29"/>
    <w:rsid w:val="6FD7501A"/>
    <w:rsid w:val="6FD96F22"/>
    <w:rsid w:val="6FDB4045"/>
    <w:rsid w:val="6FE23626"/>
    <w:rsid w:val="6FE37D9E"/>
    <w:rsid w:val="6FE54EC4"/>
    <w:rsid w:val="6FE60753"/>
    <w:rsid w:val="6FEA072C"/>
    <w:rsid w:val="6FEC62B9"/>
    <w:rsid w:val="6FEF189F"/>
    <w:rsid w:val="70027824"/>
    <w:rsid w:val="7003534A"/>
    <w:rsid w:val="70057314"/>
    <w:rsid w:val="700C06A3"/>
    <w:rsid w:val="70101D70"/>
    <w:rsid w:val="70131A31"/>
    <w:rsid w:val="701620E9"/>
    <w:rsid w:val="70187047"/>
    <w:rsid w:val="701B23DF"/>
    <w:rsid w:val="701E3F32"/>
    <w:rsid w:val="7020414E"/>
    <w:rsid w:val="70204563"/>
    <w:rsid w:val="702561AD"/>
    <w:rsid w:val="702608B7"/>
    <w:rsid w:val="702760DD"/>
    <w:rsid w:val="702A6D7B"/>
    <w:rsid w:val="703700DD"/>
    <w:rsid w:val="703A2811"/>
    <w:rsid w:val="703B3B29"/>
    <w:rsid w:val="703B63A5"/>
    <w:rsid w:val="703C0DD0"/>
    <w:rsid w:val="70410C93"/>
    <w:rsid w:val="7046187D"/>
    <w:rsid w:val="704C0A9F"/>
    <w:rsid w:val="704E1F84"/>
    <w:rsid w:val="705051E3"/>
    <w:rsid w:val="70582D5F"/>
    <w:rsid w:val="705B5951"/>
    <w:rsid w:val="705E3501"/>
    <w:rsid w:val="70615791"/>
    <w:rsid w:val="70640519"/>
    <w:rsid w:val="70685FF4"/>
    <w:rsid w:val="706A0789"/>
    <w:rsid w:val="706C15DB"/>
    <w:rsid w:val="706C5411"/>
    <w:rsid w:val="707029DF"/>
    <w:rsid w:val="70755580"/>
    <w:rsid w:val="707B3132"/>
    <w:rsid w:val="70812E3F"/>
    <w:rsid w:val="7084648B"/>
    <w:rsid w:val="708924C9"/>
    <w:rsid w:val="708B5A6B"/>
    <w:rsid w:val="708F0BB5"/>
    <w:rsid w:val="709268DE"/>
    <w:rsid w:val="70930D7D"/>
    <w:rsid w:val="70967631"/>
    <w:rsid w:val="709D12FB"/>
    <w:rsid w:val="709D754D"/>
    <w:rsid w:val="709F5073"/>
    <w:rsid w:val="70A408DB"/>
    <w:rsid w:val="70A628A5"/>
    <w:rsid w:val="70B14DA6"/>
    <w:rsid w:val="70B30B1E"/>
    <w:rsid w:val="70B32E6B"/>
    <w:rsid w:val="70B77E27"/>
    <w:rsid w:val="70BC5E4B"/>
    <w:rsid w:val="70BF7CCC"/>
    <w:rsid w:val="70C25205"/>
    <w:rsid w:val="70C33533"/>
    <w:rsid w:val="70C53B3E"/>
    <w:rsid w:val="70C96ECE"/>
    <w:rsid w:val="70CD7E32"/>
    <w:rsid w:val="70D00C36"/>
    <w:rsid w:val="70D34D1C"/>
    <w:rsid w:val="70D53553"/>
    <w:rsid w:val="70D56CE6"/>
    <w:rsid w:val="70D64AC3"/>
    <w:rsid w:val="70D94A29"/>
    <w:rsid w:val="70DA60AB"/>
    <w:rsid w:val="70DD3DED"/>
    <w:rsid w:val="70DE3D3C"/>
    <w:rsid w:val="70DF36C1"/>
    <w:rsid w:val="70E04AD1"/>
    <w:rsid w:val="70E25326"/>
    <w:rsid w:val="70E70670"/>
    <w:rsid w:val="70ED2282"/>
    <w:rsid w:val="70EE799E"/>
    <w:rsid w:val="70F25AEA"/>
    <w:rsid w:val="70F353BF"/>
    <w:rsid w:val="70F52EE5"/>
    <w:rsid w:val="70F80C27"/>
    <w:rsid w:val="70FA4272"/>
    <w:rsid w:val="70FE1F36"/>
    <w:rsid w:val="71032E1B"/>
    <w:rsid w:val="710475CC"/>
    <w:rsid w:val="7105409D"/>
    <w:rsid w:val="71092E34"/>
    <w:rsid w:val="710C1140"/>
    <w:rsid w:val="710D66A7"/>
    <w:rsid w:val="710E21F8"/>
    <w:rsid w:val="711A294B"/>
    <w:rsid w:val="711B76F1"/>
    <w:rsid w:val="7121017E"/>
    <w:rsid w:val="7121287C"/>
    <w:rsid w:val="71213CDA"/>
    <w:rsid w:val="712464D8"/>
    <w:rsid w:val="7125111C"/>
    <w:rsid w:val="71290DE0"/>
    <w:rsid w:val="712E5597"/>
    <w:rsid w:val="713067B0"/>
    <w:rsid w:val="71341C5F"/>
    <w:rsid w:val="71353C29"/>
    <w:rsid w:val="7137174F"/>
    <w:rsid w:val="713779A1"/>
    <w:rsid w:val="713B78F4"/>
    <w:rsid w:val="71402155"/>
    <w:rsid w:val="714125CE"/>
    <w:rsid w:val="7141612A"/>
    <w:rsid w:val="714300F4"/>
    <w:rsid w:val="71437B7D"/>
    <w:rsid w:val="71453E6C"/>
    <w:rsid w:val="7146579D"/>
    <w:rsid w:val="714D6CCB"/>
    <w:rsid w:val="71533AF6"/>
    <w:rsid w:val="71542056"/>
    <w:rsid w:val="715673E9"/>
    <w:rsid w:val="715776FB"/>
    <w:rsid w:val="7158028D"/>
    <w:rsid w:val="715C7408"/>
    <w:rsid w:val="715E0A8A"/>
    <w:rsid w:val="715E4F2E"/>
    <w:rsid w:val="71600CA6"/>
    <w:rsid w:val="71602537"/>
    <w:rsid w:val="71623A54"/>
    <w:rsid w:val="71687B5B"/>
    <w:rsid w:val="716A5681"/>
    <w:rsid w:val="716B1D9A"/>
    <w:rsid w:val="716F0EE9"/>
    <w:rsid w:val="7173030C"/>
    <w:rsid w:val="717A3E1D"/>
    <w:rsid w:val="717C6C3D"/>
    <w:rsid w:val="71836742"/>
    <w:rsid w:val="718B55F7"/>
    <w:rsid w:val="718F158B"/>
    <w:rsid w:val="71923D36"/>
    <w:rsid w:val="71983564"/>
    <w:rsid w:val="719941B8"/>
    <w:rsid w:val="719B7D21"/>
    <w:rsid w:val="719C15B2"/>
    <w:rsid w:val="719C7804"/>
    <w:rsid w:val="71A072F4"/>
    <w:rsid w:val="71A30B93"/>
    <w:rsid w:val="71A856C9"/>
    <w:rsid w:val="71A861A9"/>
    <w:rsid w:val="71A95492"/>
    <w:rsid w:val="71B70340"/>
    <w:rsid w:val="71B763EC"/>
    <w:rsid w:val="71BB5107"/>
    <w:rsid w:val="71BE5855"/>
    <w:rsid w:val="71C1726B"/>
    <w:rsid w:val="71C254BD"/>
    <w:rsid w:val="71C614A7"/>
    <w:rsid w:val="71C64881"/>
    <w:rsid w:val="71C81F67"/>
    <w:rsid w:val="71CA7D6E"/>
    <w:rsid w:val="71D04807"/>
    <w:rsid w:val="71D4630A"/>
    <w:rsid w:val="71D47926"/>
    <w:rsid w:val="71DC40A5"/>
    <w:rsid w:val="71DC4DC5"/>
    <w:rsid w:val="71DE1884"/>
    <w:rsid w:val="71E73175"/>
    <w:rsid w:val="71EA4A14"/>
    <w:rsid w:val="71ED1E0E"/>
    <w:rsid w:val="71EF5B86"/>
    <w:rsid w:val="71F15DA2"/>
    <w:rsid w:val="71F50E74"/>
    <w:rsid w:val="71F633B8"/>
    <w:rsid w:val="71F86137"/>
    <w:rsid w:val="71F948D9"/>
    <w:rsid w:val="71FA304E"/>
    <w:rsid w:val="71FB09CF"/>
    <w:rsid w:val="71FB54C2"/>
    <w:rsid w:val="72033390"/>
    <w:rsid w:val="72057257"/>
    <w:rsid w:val="720B7920"/>
    <w:rsid w:val="720C2AB9"/>
    <w:rsid w:val="720C6738"/>
    <w:rsid w:val="720D24B0"/>
    <w:rsid w:val="72146D0A"/>
    <w:rsid w:val="72150D86"/>
    <w:rsid w:val="72160ED5"/>
    <w:rsid w:val="72166CEA"/>
    <w:rsid w:val="72184BFF"/>
    <w:rsid w:val="721D3378"/>
    <w:rsid w:val="72247F25"/>
    <w:rsid w:val="7227512A"/>
    <w:rsid w:val="72275320"/>
    <w:rsid w:val="72295B7C"/>
    <w:rsid w:val="722A0B3E"/>
    <w:rsid w:val="72313DAA"/>
    <w:rsid w:val="723A1A49"/>
    <w:rsid w:val="723B77DC"/>
    <w:rsid w:val="7242215A"/>
    <w:rsid w:val="724273A5"/>
    <w:rsid w:val="72431602"/>
    <w:rsid w:val="7249798C"/>
    <w:rsid w:val="724A3704"/>
    <w:rsid w:val="724E4FA2"/>
    <w:rsid w:val="724F27E6"/>
    <w:rsid w:val="72507C26"/>
    <w:rsid w:val="72565C05"/>
    <w:rsid w:val="72587BCF"/>
    <w:rsid w:val="725D51E5"/>
    <w:rsid w:val="725D59E1"/>
    <w:rsid w:val="725E119F"/>
    <w:rsid w:val="72606A84"/>
    <w:rsid w:val="72677A37"/>
    <w:rsid w:val="726B7022"/>
    <w:rsid w:val="726D79F0"/>
    <w:rsid w:val="72721C2E"/>
    <w:rsid w:val="72745656"/>
    <w:rsid w:val="7274672D"/>
    <w:rsid w:val="72776E15"/>
    <w:rsid w:val="727B1B10"/>
    <w:rsid w:val="727E137C"/>
    <w:rsid w:val="727F0FDB"/>
    <w:rsid w:val="72806075"/>
    <w:rsid w:val="72834520"/>
    <w:rsid w:val="728536B8"/>
    <w:rsid w:val="7289422C"/>
    <w:rsid w:val="728D3298"/>
    <w:rsid w:val="728F1117"/>
    <w:rsid w:val="72934DA5"/>
    <w:rsid w:val="729606F7"/>
    <w:rsid w:val="729624A5"/>
    <w:rsid w:val="72A35ED8"/>
    <w:rsid w:val="72A42E14"/>
    <w:rsid w:val="72A61BB4"/>
    <w:rsid w:val="72AB41A3"/>
    <w:rsid w:val="72AE3C93"/>
    <w:rsid w:val="72B13AFE"/>
    <w:rsid w:val="72B57676"/>
    <w:rsid w:val="72B654DE"/>
    <w:rsid w:val="72B73CFC"/>
    <w:rsid w:val="72BB3CBA"/>
    <w:rsid w:val="72C2329A"/>
    <w:rsid w:val="72C963D7"/>
    <w:rsid w:val="72CD734A"/>
    <w:rsid w:val="72CE7E91"/>
    <w:rsid w:val="72D27149"/>
    <w:rsid w:val="72D330EF"/>
    <w:rsid w:val="72D66D46"/>
    <w:rsid w:val="72D90EF8"/>
    <w:rsid w:val="72DA6836"/>
    <w:rsid w:val="72DC25AE"/>
    <w:rsid w:val="72DE4C6B"/>
    <w:rsid w:val="72E66064"/>
    <w:rsid w:val="72EB1733"/>
    <w:rsid w:val="72ED3A79"/>
    <w:rsid w:val="72F773E8"/>
    <w:rsid w:val="72F96B8A"/>
    <w:rsid w:val="72FD643C"/>
    <w:rsid w:val="72FE3E2F"/>
    <w:rsid w:val="72FE5C80"/>
    <w:rsid w:val="7300383B"/>
    <w:rsid w:val="730074EB"/>
    <w:rsid w:val="73050897"/>
    <w:rsid w:val="73076EFF"/>
    <w:rsid w:val="730C5AD9"/>
    <w:rsid w:val="731062B7"/>
    <w:rsid w:val="73125FD0"/>
    <w:rsid w:val="73155AC0"/>
    <w:rsid w:val="731811FE"/>
    <w:rsid w:val="731B453E"/>
    <w:rsid w:val="731D2216"/>
    <w:rsid w:val="731F553E"/>
    <w:rsid w:val="7320549F"/>
    <w:rsid w:val="733046A8"/>
    <w:rsid w:val="73337CF4"/>
    <w:rsid w:val="733A1083"/>
    <w:rsid w:val="733A72D5"/>
    <w:rsid w:val="733B3F7E"/>
    <w:rsid w:val="733D0B73"/>
    <w:rsid w:val="733E5017"/>
    <w:rsid w:val="73415919"/>
    <w:rsid w:val="73417C3D"/>
    <w:rsid w:val="7343262D"/>
    <w:rsid w:val="73440153"/>
    <w:rsid w:val="734463A5"/>
    <w:rsid w:val="73460802"/>
    <w:rsid w:val="734C3E6C"/>
    <w:rsid w:val="735012B9"/>
    <w:rsid w:val="735465E8"/>
    <w:rsid w:val="73557C1F"/>
    <w:rsid w:val="735D3191"/>
    <w:rsid w:val="735D4BE7"/>
    <w:rsid w:val="7361387E"/>
    <w:rsid w:val="73647D21"/>
    <w:rsid w:val="73650CB4"/>
    <w:rsid w:val="7366631C"/>
    <w:rsid w:val="736C3AB2"/>
    <w:rsid w:val="736C56E3"/>
    <w:rsid w:val="736C5BA8"/>
    <w:rsid w:val="736D3206"/>
    <w:rsid w:val="73700A17"/>
    <w:rsid w:val="737065F3"/>
    <w:rsid w:val="737427E7"/>
    <w:rsid w:val="7375030D"/>
    <w:rsid w:val="737D2659"/>
    <w:rsid w:val="737E5413"/>
    <w:rsid w:val="737E672C"/>
    <w:rsid w:val="737F73DD"/>
    <w:rsid w:val="73857ACC"/>
    <w:rsid w:val="738A27F1"/>
    <w:rsid w:val="738B5D82"/>
    <w:rsid w:val="73903399"/>
    <w:rsid w:val="73972979"/>
    <w:rsid w:val="73984857"/>
    <w:rsid w:val="73994ACC"/>
    <w:rsid w:val="73A3131E"/>
    <w:rsid w:val="73A624F6"/>
    <w:rsid w:val="73A86934"/>
    <w:rsid w:val="73AB01D2"/>
    <w:rsid w:val="73AB29D6"/>
    <w:rsid w:val="73AF3484"/>
    <w:rsid w:val="73AF381F"/>
    <w:rsid w:val="73AF7CC3"/>
    <w:rsid w:val="73B07597"/>
    <w:rsid w:val="73B147FC"/>
    <w:rsid w:val="73B452D9"/>
    <w:rsid w:val="73B726D3"/>
    <w:rsid w:val="73B76B77"/>
    <w:rsid w:val="73B928EF"/>
    <w:rsid w:val="73BA21C4"/>
    <w:rsid w:val="73C74E9A"/>
    <w:rsid w:val="73CB43D1"/>
    <w:rsid w:val="73CB5E2F"/>
    <w:rsid w:val="73CC2623"/>
    <w:rsid w:val="73CD6DE1"/>
    <w:rsid w:val="73CF2113"/>
    <w:rsid w:val="73D03795"/>
    <w:rsid w:val="73D11C07"/>
    <w:rsid w:val="73D4663A"/>
    <w:rsid w:val="73D46A5E"/>
    <w:rsid w:val="73D55325"/>
    <w:rsid w:val="73D64778"/>
    <w:rsid w:val="73D64ECE"/>
    <w:rsid w:val="73D923C2"/>
    <w:rsid w:val="73DB738C"/>
    <w:rsid w:val="73E1244C"/>
    <w:rsid w:val="73E26041"/>
    <w:rsid w:val="73E55492"/>
    <w:rsid w:val="73EF00BF"/>
    <w:rsid w:val="73F676A0"/>
    <w:rsid w:val="73F97190"/>
    <w:rsid w:val="73FC458A"/>
    <w:rsid w:val="73FE6554"/>
    <w:rsid w:val="740067CC"/>
    <w:rsid w:val="740357B2"/>
    <w:rsid w:val="74037B38"/>
    <w:rsid w:val="74050362"/>
    <w:rsid w:val="74081181"/>
    <w:rsid w:val="740B2A1F"/>
    <w:rsid w:val="740D08DA"/>
    <w:rsid w:val="740F42BD"/>
    <w:rsid w:val="741254CB"/>
    <w:rsid w:val="74160A9F"/>
    <w:rsid w:val="7416389E"/>
    <w:rsid w:val="741E2752"/>
    <w:rsid w:val="74202A96"/>
    <w:rsid w:val="7421016F"/>
    <w:rsid w:val="742571A1"/>
    <w:rsid w:val="74275AAB"/>
    <w:rsid w:val="742A5692"/>
    <w:rsid w:val="742F3313"/>
    <w:rsid w:val="742F79B6"/>
    <w:rsid w:val="743106D8"/>
    <w:rsid w:val="74312486"/>
    <w:rsid w:val="74343D24"/>
    <w:rsid w:val="7434641A"/>
    <w:rsid w:val="743E5E20"/>
    <w:rsid w:val="743F4532"/>
    <w:rsid w:val="743F7C7A"/>
    <w:rsid w:val="744245F4"/>
    <w:rsid w:val="7443040B"/>
    <w:rsid w:val="744523D5"/>
    <w:rsid w:val="7447614D"/>
    <w:rsid w:val="744856E9"/>
    <w:rsid w:val="744B10E8"/>
    <w:rsid w:val="744C6187"/>
    <w:rsid w:val="74535FB7"/>
    <w:rsid w:val="74542618"/>
    <w:rsid w:val="74546174"/>
    <w:rsid w:val="74561EEC"/>
    <w:rsid w:val="745949A2"/>
    <w:rsid w:val="745B5608"/>
    <w:rsid w:val="745B5BFF"/>
    <w:rsid w:val="745C1886"/>
    <w:rsid w:val="745E5DE3"/>
    <w:rsid w:val="7460673E"/>
    <w:rsid w:val="7463285B"/>
    <w:rsid w:val="746817A1"/>
    <w:rsid w:val="746C5BB4"/>
    <w:rsid w:val="746E24FB"/>
    <w:rsid w:val="7470772C"/>
    <w:rsid w:val="74721221"/>
    <w:rsid w:val="74760A67"/>
    <w:rsid w:val="74786307"/>
    <w:rsid w:val="748969AA"/>
    <w:rsid w:val="748C570A"/>
    <w:rsid w:val="748E36F3"/>
    <w:rsid w:val="749022BA"/>
    <w:rsid w:val="74911176"/>
    <w:rsid w:val="74977C4C"/>
    <w:rsid w:val="74977E43"/>
    <w:rsid w:val="749808A0"/>
    <w:rsid w:val="74983CAD"/>
    <w:rsid w:val="749D17D0"/>
    <w:rsid w:val="74A90BC7"/>
    <w:rsid w:val="74AC4202"/>
    <w:rsid w:val="74AF784E"/>
    <w:rsid w:val="74B133C4"/>
    <w:rsid w:val="74B45D1E"/>
    <w:rsid w:val="74B60BDD"/>
    <w:rsid w:val="74BC0CB5"/>
    <w:rsid w:val="74BF5CE3"/>
    <w:rsid w:val="74C23D1D"/>
    <w:rsid w:val="74C3041D"/>
    <w:rsid w:val="74C61A11"/>
    <w:rsid w:val="74CC09BA"/>
    <w:rsid w:val="74CE7E85"/>
    <w:rsid w:val="74CF2514"/>
    <w:rsid w:val="74D3353D"/>
    <w:rsid w:val="74D55507"/>
    <w:rsid w:val="74D774D1"/>
    <w:rsid w:val="74DF6386"/>
    <w:rsid w:val="74E219D2"/>
    <w:rsid w:val="74E41BEE"/>
    <w:rsid w:val="74E52DB9"/>
    <w:rsid w:val="74E53270"/>
    <w:rsid w:val="74E7348C"/>
    <w:rsid w:val="74F01AB7"/>
    <w:rsid w:val="74F05C52"/>
    <w:rsid w:val="74F636CF"/>
    <w:rsid w:val="74F6547D"/>
    <w:rsid w:val="74FA1750"/>
    <w:rsid w:val="74FB755E"/>
    <w:rsid w:val="74FD680C"/>
    <w:rsid w:val="7502430A"/>
    <w:rsid w:val="75047B9A"/>
    <w:rsid w:val="75060EE0"/>
    <w:rsid w:val="75063912"/>
    <w:rsid w:val="750951B1"/>
    <w:rsid w:val="750B5979"/>
    <w:rsid w:val="750C4CA1"/>
    <w:rsid w:val="750D14C0"/>
    <w:rsid w:val="7516167C"/>
    <w:rsid w:val="751776D9"/>
    <w:rsid w:val="751A1B96"/>
    <w:rsid w:val="751A73BE"/>
    <w:rsid w:val="751D2A0A"/>
    <w:rsid w:val="751D3A30"/>
    <w:rsid w:val="751F2C26"/>
    <w:rsid w:val="7521699E"/>
    <w:rsid w:val="75254978"/>
    <w:rsid w:val="752C751D"/>
    <w:rsid w:val="752E2E69"/>
    <w:rsid w:val="752E5417"/>
    <w:rsid w:val="752F7442"/>
    <w:rsid w:val="75322959"/>
    <w:rsid w:val="75324707"/>
    <w:rsid w:val="7533222E"/>
    <w:rsid w:val="753B7C04"/>
    <w:rsid w:val="753C4AE2"/>
    <w:rsid w:val="753D12FE"/>
    <w:rsid w:val="75493FEF"/>
    <w:rsid w:val="754D1541"/>
    <w:rsid w:val="755267DD"/>
    <w:rsid w:val="755424DD"/>
    <w:rsid w:val="7557416E"/>
    <w:rsid w:val="75580612"/>
    <w:rsid w:val="755C1784"/>
    <w:rsid w:val="75630BE3"/>
    <w:rsid w:val="7563382A"/>
    <w:rsid w:val="75644ADD"/>
    <w:rsid w:val="7567711B"/>
    <w:rsid w:val="75680129"/>
    <w:rsid w:val="7568355A"/>
    <w:rsid w:val="756B19C7"/>
    <w:rsid w:val="756B5E6B"/>
    <w:rsid w:val="75727563"/>
    <w:rsid w:val="757753B7"/>
    <w:rsid w:val="757A13A8"/>
    <w:rsid w:val="75834E52"/>
    <w:rsid w:val="758962F1"/>
    <w:rsid w:val="758A4B0E"/>
    <w:rsid w:val="758A5CF7"/>
    <w:rsid w:val="758B3E18"/>
    <w:rsid w:val="758C657E"/>
    <w:rsid w:val="758D5DE2"/>
    <w:rsid w:val="75907680"/>
    <w:rsid w:val="75926CCC"/>
    <w:rsid w:val="7596337E"/>
    <w:rsid w:val="759727BC"/>
    <w:rsid w:val="75976C60"/>
    <w:rsid w:val="759C5643"/>
    <w:rsid w:val="759D2548"/>
    <w:rsid w:val="759E3B4B"/>
    <w:rsid w:val="75A34255"/>
    <w:rsid w:val="75A373B3"/>
    <w:rsid w:val="75A5367F"/>
    <w:rsid w:val="75A629FF"/>
    <w:rsid w:val="75A82C1C"/>
    <w:rsid w:val="75A849CA"/>
    <w:rsid w:val="75B52599"/>
    <w:rsid w:val="75BE268B"/>
    <w:rsid w:val="75C6420B"/>
    <w:rsid w:val="75C845CC"/>
    <w:rsid w:val="75C97BE6"/>
    <w:rsid w:val="75CA2B92"/>
    <w:rsid w:val="75CB22DA"/>
    <w:rsid w:val="75CB4B5C"/>
    <w:rsid w:val="75D11745"/>
    <w:rsid w:val="75D27C98"/>
    <w:rsid w:val="75D457BF"/>
    <w:rsid w:val="75D53553"/>
    <w:rsid w:val="75D854F7"/>
    <w:rsid w:val="75DA6B4D"/>
    <w:rsid w:val="75E25010"/>
    <w:rsid w:val="75E4492E"/>
    <w:rsid w:val="75E76FA0"/>
    <w:rsid w:val="75F47C0F"/>
    <w:rsid w:val="75F61BD9"/>
    <w:rsid w:val="75F642BE"/>
    <w:rsid w:val="75F67D87"/>
    <w:rsid w:val="75F96FD3"/>
    <w:rsid w:val="760065B4"/>
    <w:rsid w:val="76013E56"/>
    <w:rsid w:val="76021C25"/>
    <w:rsid w:val="76051E1C"/>
    <w:rsid w:val="76082E34"/>
    <w:rsid w:val="76085468"/>
    <w:rsid w:val="760F67F7"/>
    <w:rsid w:val="761024BB"/>
    <w:rsid w:val="76120095"/>
    <w:rsid w:val="761207E9"/>
    <w:rsid w:val="76125CED"/>
    <w:rsid w:val="76143E0D"/>
    <w:rsid w:val="76172A46"/>
    <w:rsid w:val="761A3181"/>
    <w:rsid w:val="761B33ED"/>
    <w:rsid w:val="761C0F14"/>
    <w:rsid w:val="761F73DF"/>
    <w:rsid w:val="76200403"/>
    <w:rsid w:val="762027B2"/>
    <w:rsid w:val="7620613A"/>
    <w:rsid w:val="762229CE"/>
    <w:rsid w:val="762322A2"/>
    <w:rsid w:val="76267D9B"/>
    <w:rsid w:val="76284096"/>
    <w:rsid w:val="762878B8"/>
    <w:rsid w:val="762A64FF"/>
    <w:rsid w:val="762B13A0"/>
    <w:rsid w:val="762E3D9B"/>
    <w:rsid w:val="763224E5"/>
    <w:rsid w:val="76360227"/>
    <w:rsid w:val="76397D18"/>
    <w:rsid w:val="763B41A3"/>
    <w:rsid w:val="763C1D76"/>
    <w:rsid w:val="7641097A"/>
    <w:rsid w:val="76431A4C"/>
    <w:rsid w:val="76432944"/>
    <w:rsid w:val="764A4AD7"/>
    <w:rsid w:val="764C17F9"/>
    <w:rsid w:val="764D731F"/>
    <w:rsid w:val="764F3097"/>
    <w:rsid w:val="764F3C94"/>
    <w:rsid w:val="76505BD1"/>
    <w:rsid w:val="765115BF"/>
    <w:rsid w:val="765435FA"/>
    <w:rsid w:val="765468FF"/>
    <w:rsid w:val="765608C9"/>
    <w:rsid w:val="765A5250"/>
    <w:rsid w:val="765A7DE9"/>
    <w:rsid w:val="765B1A3C"/>
    <w:rsid w:val="765B7C8E"/>
    <w:rsid w:val="766703E1"/>
    <w:rsid w:val="76674885"/>
    <w:rsid w:val="766A4BBD"/>
    <w:rsid w:val="766B3B27"/>
    <w:rsid w:val="76726D86"/>
    <w:rsid w:val="7677027B"/>
    <w:rsid w:val="76794C71"/>
    <w:rsid w:val="767C5E84"/>
    <w:rsid w:val="768014A2"/>
    <w:rsid w:val="7682346D"/>
    <w:rsid w:val="76826884"/>
    <w:rsid w:val="768A639E"/>
    <w:rsid w:val="768A6BD8"/>
    <w:rsid w:val="769209A1"/>
    <w:rsid w:val="76980543"/>
    <w:rsid w:val="769D2054"/>
    <w:rsid w:val="769F2CF0"/>
    <w:rsid w:val="76A00AA8"/>
    <w:rsid w:val="76A038F3"/>
    <w:rsid w:val="76A333E3"/>
    <w:rsid w:val="76A41635"/>
    <w:rsid w:val="76AC2297"/>
    <w:rsid w:val="76AC2F45"/>
    <w:rsid w:val="76B64EC4"/>
    <w:rsid w:val="76BA0E58"/>
    <w:rsid w:val="76BB697E"/>
    <w:rsid w:val="76BD6253"/>
    <w:rsid w:val="76BE139E"/>
    <w:rsid w:val="76C00BDA"/>
    <w:rsid w:val="76C11C54"/>
    <w:rsid w:val="76C31EDD"/>
    <w:rsid w:val="76C84BF7"/>
    <w:rsid w:val="76CA59FC"/>
    <w:rsid w:val="76CC46E8"/>
    <w:rsid w:val="76CE7F17"/>
    <w:rsid w:val="76D33CC8"/>
    <w:rsid w:val="76D37A56"/>
    <w:rsid w:val="76D90BB3"/>
    <w:rsid w:val="76DD06A3"/>
    <w:rsid w:val="76E102EE"/>
    <w:rsid w:val="76E24688"/>
    <w:rsid w:val="76E33B09"/>
    <w:rsid w:val="76E97048"/>
    <w:rsid w:val="76EB40DE"/>
    <w:rsid w:val="76EC01D5"/>
    <w:rsid w:val="76F1414E"/>
    <w:rsid w:val="76F51E90"/>
    <w:rsid w:val="76FA1255"/>
    <w:rsid w:val="76FC3F33"/>
    <w:rsid w:val="76FD0D45"/>
    <w:rsid w:val="76FD23E8"/>
    <w:rsid w:val="76FF4B26"/>
    <w:rsid w:val="76FF4B33"/>
    <w:rsid w:val="76FF4D0C"/>
    <w:rsid w:val="77043E82"/>
    <w:rsid w:val="77065E4C"/>
    <w:rsid w:val="77073972"/>
    <w:rsid w:val="77090B09"/>
    <w:rsid w:val="770B3462"/>
    <w:rsid w:val="771413AA"/>
    <w:rsid w:val="771816DB"/>
    <w:rsid w:val="7718792D"/>
    <w:rsid w:val="771F2A69"/>
    <w:rsid w:val="77204A34"/>
    <w:rsid w:val="77242FBF"/>
    <w:rsid w:val="77276954"/>
    <w:rsid w:val="77291B3A"/>
    <w:rsid w:val="772C5186"/>
    <w:rsid w:val="772F0F11"/>
    <w:rsid w:val="773357EC"/>
    <w:rsid w:val="77344AA0"/>
    <w:rsid w:val="77354DAD"/>
    <w:rsid w:val="77364257"/>
    <w:rsid w:val="77367FC0"/>
    <w:rsid w:val="773B0E9D"/>
    <w:rsid w:val="773E017D"/>
    <w:rsid w:val="773F6DAD"/>
    <w:rsid w:val="77422BFC"/>
    <w:rsid w:val="774320BA"/>
    <w:rsid w:val="77444479"/>
    <w:rsid w:val="77466EC3"/>
    <w:rsid w:val="77495D38"/>
    <w:rsid w:val="774A385E"/>
    <w:rsid w:val="774B1AB0"/>
    <w:rsid w:val="774C0100"/>
    <w:rsid w:val="774D0CD2"/>
    <w:rsid w:val="774D5DBD"/>
    <w:rsid w:val="7757491D"/>
    <w:rsid w:val="775B5A6C"/>
    <w:rsid w:val="77654D69"/>
    <w:rsid w:val="77660698"/>
    <w:rsid w:val="77691FCD"/>
    <w:rsid w:val="776B0084"/>
    <w:rsid w:val="776B3886"/>
    <w:rsid w:val="776E1C43"/>
    <w:rsid w:val="776E39F1"/>
    <w:rsid w:val="77701517"/>
    <w:rsid w:val="77731007"/>
    <w:rsid w:val="77774963"/>
    <w:rsid w:val="777B13C8"/>
    <w:rsid w:val="777D3C34"/>
    <w:rsid w:val="777E1E6A"/>
    <w:rsid w:val="7781291A"/>
    <w:rsid w:val="77815487"/>
    <w:rsid w:val="77846D70"/>
    <w:rsid w:val="77873E12"/>
    <w:rsid w:val="778D20C9"/>
    <w:rsid w:val="778E4093"/>
    <w:rsid w:val="77905BDB"/>
    <w:rsid w:val="77921091"/>
    <w:rsid w:val="77925931"/>
    <w:rsid w:val="779652A5"/>
    <w:rsid w:val="77974CF6"/>
    <w:rsid w:val="7798546D"/>
    <w:rsid w:val="779A0BA9"/>
    <w:rsid w:val="779C230C"/>
    <w:rsid w:val="779C25A0"/>
    <w:rsid w:val="77A0580F"/>
    <w:rsid w:val="77A367FA"/>
    <w:rsid w:val="77A80CB1"/>
    <w:rsid w:val="77B230C1"/>
    <w:rsid w:val="77B525C4"/>
    <w:rsid w:val="77B533CE"/>
    <w:rsid w:val="77B70EF4"/>
    <w:rsid w:val="77B84FEC"/>
    <w:rsid w:val="77B868EE"/>
    <w:rsid w:val="77BE2745"/>
    <w:rsid w:val="77C34F71"/>
    <w:rsid w:val="77C6382D"/>
    <w:rsid w:val="77C84B54"/>
    <w:rsid w:val="77CA11BC"/>
    <w:rsid w:val="77CD6139"/>
    <w:rsid w:val="77CE4490"/>
    <w:rsid w:val="77D00208"/>
    <w:rsid w:val="77D25D2E"/>
    <w:rsid w:val="77D575CC"/>
    <w:rsid w:val="77D86D1D"/>
    <w:rsid w:val="77D965E5"/>
    <w:rsid w:val="77DA7763"/>
    <w:rsid w:val="77DB6549"/>
    <w:rsid w:val="77DB7820"/>
    <w:rsid w:val="77E111FF"/>
    <w:rsid w:val="77E45A61"/>
    <w:rsid w:val="77E72252"/>
    <w:rsid w:val="77EB5041"/>
    <w:rsid w:val="77EB6DF0"/>
    <w:rsid w:val="77EC4C19"/>
    <w:rsid w:val="77EE068E"/>
    <w:rsid w:val="77EF4B32"/>
    <w:rsid w:val="77F019A9"/>
    <w:rsid w:val="77F02658"/>
    <w:rsid w:val="77F34DF1"/>
    <w:rsid w:val="77F523FC"/>
    <w:rsid w:val="77F55EC0"/>
    <w:rsid w:val="77F71C38"/>
    <w:rsid w:val="77F7266A"/>
    <w:rsid w:val="77FA51E5"/>
    <w:rsid w:val="77FD4D9B"/>
    <w:rsid w:val="7800347A"/>
    <w:rsid w:val="780249C4"/>
    <w:rsid w:val="78042AAA"/>
    <w:rsid w:val="780879A1"/>
    <w:rsid w:val="780A196C"/>
    <w:rsid w:val="780B4CF5"/>
    <w:rsid w:val="781070F3"/>
    <w:rsid w:val="7813731B"/>
    <w:rsid w:val="78177D9D"/>
    <w:rsid w:val="781A76D5"/>
    <w:rsid w:val="781F291F"/>
    <w:rsid w:val="781F6A99"/>
    <w:rsid w:val="78230258"/>
    <w:rsid w:val="782342A2"/>
    <w:rsid w:val="78281DF2"/>
    <w:rsid w:val="782B18E2"/>
    <w:rsid w:val="782D6477"/>
    <w:rsid w:val="78315696"/>
    <w:rsid w:val="783211A1"/>
    <w:rsid w:val="783412EA"/>
    <w:rsid w:val="78342545"/>
    <w:rsid w:val="783805E5"/>
    <w:rsid w:val="78393FFF"/>
    <w:rsid w:val="78397B5B"/>
    <w:rsid w:val="7840713B"/>
    <w:rsid w:val="78420CFF"/>
    <w:rsid w:val="78447D87"/>
    <w:rsid w:val="784604CA"/>
    <w:rsid w:val="78462278"/>
    <w:rsid w:val="78496FD5"/>
    <w:rsid w:val="784A2AFA"/>
    <w:rsid w:val="784C3D32"/>
    <w:rsid w:val="7854032A"/>
    <w:rsid w:val="78552B83"/>
    <w:rsid w:val="785E1CB7"/>
    <w:rsid w:val="785F6899"/>
    <w:rsid w:val="786028D0"/>
    <w:rsid w:val="78656BA2"/>
    <w:rsid w:val="78680440"/>
    <w:rsid w:val="786D0227"/>
    <w:rsid w:val="78744D57"/>
    <w:rsid w:val="78767001"/>
    <w:rsid w:val="78774B27"/>
    <w:rsid w:val="787E7B96"/>
    <w:rsid w:val="788039DC"/>
    <w:rsid w:val="78825031"/>
    <w:rsid w:val="7885514B"/>
    <w:rsid w:val="78871FDC"/>
    <w:rsid w:val="78885B9E"/>
    <w:rsid w:val="788860C0"/>
    <w:rsid w:val="788A03B6"/>
    <w:rsid w:val="78977B00"/>
    <w:rsid w:val="78986F77"/>
    <w:rsid w:val="78994A9D"/>
    <w:rsid w:val="789C2D6F"/>
    <w:rsid w:val="78A3742A"/>
    <w:rsid w:val="78A5543C"/>
    <w:rsid w:val="78A579D7"/>
    <w:rsid w:val="78AB7B6D"/>
    <w:rsid w:val="78AD0549"/>
    <w:rsid w:val="78AD188B"/>
    <w:rsid w:val="78B0330E"/>
    <w:rsid w:val="78B10039"/>
    <w:rsid w:val="78B114FC"/>
    <w:rsid w:val="78B26840"/>
    <w:rsid w:val="78B4299C"/>
    <w:rsid w:val="78B76A2D"/>
    <w:rsid w:val="78BE2756"/>
    <w:rsid w:val="78C87131"/>
    <w:rsid w:val="78CD0794"/>
    <w:rsid w:val="78DD0E2E"/>
    <w:rsid w:val="78DD498A"/>
    <w:rsid w:val="78DD6E96"/>
    <w:rsid w:val="78DF4BA6"/>
    <w:rsid w:val="78E201F2"/>
    <w:rsid w:val="78E90790"/>
    <w:rsid w:val="78EE54F0"/>
    <w:rsid w:val="78EF3981"/>
    <w:rsid w:val="78F40671"/>
    <w:rsid w:val="78F87A16"/>
    <w:rsid w:val="79020895"/>
    <w:rsid w:val="790243F1"/>
    <w:rsid w:val="79024792"/>
    <w:rsid w:val="7902799B"/>
    <w:rsid w:val="79030169"/>
    <w:rsid w:val="7904460D"/>
    <w:rsid w:val="790A7749"/>
    <w:rsid w:val="790C5364"/>
    <w:rsid w:val="790D0896"/>
    <w:rsid w:val="79134850"/>
    <w:rsid w:val="79143567"/>
    <w:rsid w:val="791922F0"/>
    <w:rsid w:val="7919798C"/>
    <w:rsid w:val="791A3E30"/>
    <w:rsid w:val="791F6864"/>
    <w:rsid w:val="79227CA0"/>
    <w:rsid w:val="7924080B"/>
    <w:rsid w:val="79255191"/>
    <w:rsid w:val="792736F6"/>
    <w:rsid w:val="79305402"/>
    <w:rsid w:val="79312F28"/>
    <w:rsid w:val="79343F2C"/>
    <w:rsid w:val="79344474"/>
    <w:rsid w:val="7936053E"/>
    <w:rsid w:val="793A1DDD"/>
    <w:rsid w:val="793A7608"/>
    <w:rsid w:val="793B1CEC"/>
    <w:rsid w:val="793B5EB2"/>
    <w:rsid w:val="793B7903"/>
    <w:rsid w:val="793C3418"/>
    <w:rsid w:val="794133A0"/>
    <w:rsid w:val="7949294B"/>
    <w:rsid w:val="79496EFF"/>
    <w:rsid w:val="794C1B10"/>
    <w:rsid w:val="794D51F4"/>
    <w:rsid w:val="795608F6"/>
    <w:rsid w:val="7956428E"/>
    <w:rsid w:val="7956439C"/>
    <w:rsid w:val="79567329"/>
    <w:rsid w:val="795A264F"/>
    <w:rsid w:val="795B529B"/>
    <w:rsid w:val="795C6B0F"/>
    <w:rsid w:val="795E2293"/>
    <w:rsid w:val="795E27B4"/>
    <w:rsid w:val="795F1D84"/>
    <w:rsid w:val="79607050"/>
    <w:rsid w:val="796222C7"/>
    <w:rsid w:val="796230E1"/>
    <w:rsid w:val="79660E24"/>
    <w:rsid w:val="796627DC"/>
    <w:rsid w:val="796B1D07"/>
    <w:rsid w:val="796F0913"/>
    <w:rsid w:val="797057FE"/>
    <w:rsid w:val="79723B9C"/>
    <w:rsid w:val="797936F1"/>
    <w:rsid w:val="797A667D"/>
    <w:rsid w:val="797E57D7"/>
    <w:rsid w:val="797F5A41"/>
    <w:rsid w:val="79823784"/>
    <w:rsid w:val="798360CE"/>
    <w:rsid w:val="79842AEE"/>
    <w:rsid w:val="79846B32"/>
    <w:rsid w:val="79856DD0"/>
    <w:rsid w:val="798A7BD4"/>
    <w:rsid w:val="798B4889"/>
    <w:rsid w:val="798D4602"/>
    <w:rsid w:val="798E3ED6"/>
    <w:rsid w:val="799040F2"/>
    <w:rsid w:val="79907C4E"/>
    <w:rsid w:val="799139C7"/>
    <w:rsid w:val="79915775"/>
    <w:rsid w:val="79952B92"/>
    <w:rsid w:val="79976622"/>
    <w:rsid w:val="7999170A"/>
    <w:rsid w:val="799D4DCF"/>
    <w:rsid w:val="79A11E5C"/>
    <w:rsid w:val="79A36450"/>
    <w:rsid w:val="79A92AE0"/>
    <w:rsid w:val="79A951B4"/>
    <w:rsid w:val="79AC0800"/>
    <w:rsid w:val="79AE6381"/>
    <w:rsid w:val="79B002F1"/>
    <w:rsid w:val="79B21A11"/>
    <w:rsid w:val="79B323EB"/>
    <w:rsid w:val="79B33A6D"/>
    <w:rsid w:val="79B46B64"/>
    <w:rsid w:val="79B50AEB"/>
    <w:rsid w:val="79BE0C60"/>
    <w:rsid w:val="79BF22E2"/>
    <w:rsid w:val="79C0255E"/>
    <w:rsid w:val="79C124FE"/>
    <w:rsid w:val="79C155C0"/>
    <w:rsid w:val="79C21DD2"/>
    <w:rsid w:val="79C63670"/>
    <w:rsid w:val="79C97604"/>
    <w:rsid w:val="79CA08CA"/>
    <w:rsid w:val="79CE3BB8"/>
    <w:rsid w:val="79D044C3"/>
    <w:rsid w:val="79D10450"/>
    <w:rsid w:val="79D12015"/>
    <w:rsid w:val="79D42891"/>
    <w:rsid w:val="79D52F41"/>
    <w:rsid w:val="79DC10E6"/>
    <w:rsid w:val="79DD2FC7"/>
    <w:rsid w:val="79DD6C0C"/>
    <w:rsid w:val="79E306C6"/>
    <w:rsid w:val="79E60422"/>
    <w:rsid w:val="79E81F89"/>
    <w:rsid w:val="79E870C8"/>
    <w:rsid w:val="79ED32F3"/>
    <w:rsid w:val="79F1554B"/>
    <w:rsid w:val="79F53F55"/>
    <w:rsid w:val="79F61829"/>
    <w:rsid w:val="79F75F20"/>
    <w:rsid w:val="79F97252"/>
    <w:rsid w:val="79FA156C"/>
    <w:rsid w:val="79FF2CA1"/>
    <w:rsid w:val="7A017521"/>
    <w:rsid w:val="7A064BBD"/>
    <w:rsid w:val="7A0A1B00"/>
    <w:rsid w:val="7A0D6076"/>
    <w:rsid w:val="7A140D08"/>
    <w:rsid w:val="7A18795D"/>
    <w:rsid w:val="7A1C5A79"/>
    <w:rsid w:val="7A1E34AC"/>
    <w:rsid w:val="7A20571A"/>
    <w:rsid w:val="7A215A55"/>
    <w:rsid w:val="7A280968"/>
    <w:rsid w:val="7A2D742D"/>
    <w:rsid w:val="7A350BB3"/>
    <w:rsid w:val="7A356A48"/>
    <w:rsid w:val="7A396538"/>
    <w:rsid w:val="7A3C0ECA"/>
    <w:rsid w:val="7A431165"/>
    <w:rsid w:val="7A434029"/>
    <w:rsid w:val="7A440A39"/>
    <w:rsid w:val="7A480529"/>
    <w:rsid w:val="7A4A42A1"/>
    <w:rsid w:val="7A4B67B4"/>
    <w:rsid w:val="7A4C0E74"/>
    <w:rsid w:val="7A4E1FC1"/>
    <w:rsid w:val="7A505630"/>
    <w:rsid w:val="7A5549F4"/>
    <w:rsid w:val="7A572C0A"/>
    <w:rsid w:val="7A5944E4"/>
    <w:rsid w:val="7A5A0A5C"/>
    <w:rsid w:val="7A5C43E8"/>
    <w:rsid w:val="7A5D7361"/>
    <w:rsid w:val="7A601D17"/>
    <w:rsid w:val="7A631134"/>
    <w:rsid w:val="7A6742F1"/>
    <w:rsid w:val="7A6B15AB"/>
    <w:rsid w:val="7A6D7F90"/>
    <w:rsid w:val="7A6E6077"/>
    <w:rsid w:val="7A773C99"/>
    <w:rsid w:val="7A7B73B4"/>
    <w:rsid w:val="7A7D7DED"/>
    <w:rsid w:val="7A831561"/>
    <w:rsid w:val="7A833776"/>
    <w:rsid w:val="7A835199"/>
    <w:rsid w:val="7A837BE3"/>
    <w:rsid w:val="7A85177D"/>
    <w:rsid w:val="7A8A6D94"/>
    <w:rsid w:val="7A8C3C78"/>
    <w:rsid w:val="7A937E45"/>
    <w:rsid w:val="7A940B49"/>
    <w:rsid w:val="7A9667B8"/>
    <w:rsid w:val="7A972953"/>
    <w:rsid w:val="7A990D85"/>
    <w:rsid w:val="7A9B4AFD"/>
    <w:rsid w:val="7AA02113"/>
    <w:rsid w:val="7AA02320"/>
    <w:rsid w:val="7AA32EC0"/>
    <w:rsid w:val="7AA5257E"/>
    <w:rsid w:val="7AA53E7A"/>
    <w:rsid w:val="7AA64A51"/>
    <w:rsid w:val="7AA75CF9"/>
    <w:rsid w:val="7AA80FC8"/>
    <w:rsid w:val="7AA8546C"/>
    <w:rsid w:val="7AA932BF"/>
    <w:rsid w:val="7AA94B13"/>
    <w:rsid w:val="7AAA6BA4"/>
    <w:rsid w:val="7AAC0428"/>
    <w:rsid w:val="7AB1268F"/>
    <w:rsid w:val="7AB3043C"/>
    <w:rsid w:val="7ABB1DEA"/>
    <w:rsid w:val="7ABB7F90"/>
    <w:rsid w:val="7ABD2CC5"/>
    <w:rsid w:val="7ABF6589"/>
    <w:rsid w:val="7AC027B5"/>
    <w:rsid w:val="7AC06311"/>
    <w:rsid w:val="7AC322A6"/>
    <w:rsid w:val="7AC5146A"/>
    <w:rsid w:val="7AC76EE3"/>
    <w:rsid w:val="7AC81860"/>
    <w:rsid w:val="7ACA5621"/>
    <w:rsid w:val="7ACF47A6"/>
    <w:rsid w:val="7AD4000F"/>
    <w:rsid w:val="7ADE0147"/>
    <w:rsid w:val="7AE0643C"/>
    <w:rsid w:val="7AE364A4"/>
    <w:rsid w:val="7AE5221C"/>
    <w:rsid w:val="7AE81AED"/>
    <w:rsid w:val="7AEA012E"/>
    <w:rsid w:val="7AED1261"/>
    <w:rsid w:val="7AF035F7"/>
    <w:rsid w:val="7AF10BC1"/>
    <w:rsid w:val="7AF406B1"/>
    <w:rsid w:val="7AF53541"/>
    <w:rsid w:val="7AF67F85"/>
    <w:rsid w:val="7AFC2EE7"/>
    <w:rsid w:val="7AFF3258"/>
    <w:rsid w:val="7B002BB2"/>
    <w:rsid w:val="7B0C1557"/>
    <w:rsid w:val="7B0E1773"/>
    <w:rsid w:val="7B136D89"/>
    <w:rsid w:val="7B160C07"/>
    <w:rsid w:val="7B1623D5"/>
    <w:rsid w:val="7B164183"/>
    <w:rsid w:val="7B1D0D49"/>
    <w:rsid w:val="7B1D18FD"/>
    <w:rsid w:val="7B1E74DC"/>
    <w:rsid w:val="7B20266B"/>
    <w:rsid w:val="7B2538B3"/>
    <w:rsid w:val="7B256ABC"/>
    <w:rsid w:val="7B2670C2"/>
    <w:rsid w:val="7B2A7C2F"/>
    <w:rsid w:val="7B2C7682"/>
    <w:rsid w:val="7B2E3BC3"/>
    <w:rsid w:val="7B344D74"/>
    <w:rsid w:val="7B355E49"/>
    <w:rsid w:val="7B364826"/>
    <w:rsid w:val="7B382ECC"/>
    <w:rsid w:val="7B3B3562"/>
    <w:rsid w:val="7B3D7962"/>
    <w:rsid w:val="7B430AFA"/>
    <w:rsid w:val="7B4363EC"/>
    <w:rsid w:val="7B445194"/>
    <w:rsid w:val="7B454A69"/>
    <w:rsid w:val="7B476A33"/>
    <w:rsid w:val="7B477D39"/>
    <w:rsid w:val="7B483F8C"/>
    <w:rsid w:val="7B4934DB"/>
    <w:rsid w:val="7B4950C9"/>
    <w:rsid w:val="7B4A02D1"/>
    <w:rsid w:val="7B4D2AA9"/>
    <w:rsid w:val="7B4F6B7B"/>
    <w:rsid w:val="7B560A24"/>
    <w:rsid w:val="7B5778E5"/>
    <w:rsid w:val="7B5911D5"/>
    <w:rsid w:val="7B5D1DB2"/>
    <w:rsid w:val="7B610F6B"/>
    <w:rsid w:val="7B612D26"/>
    <w:rsid w:val="7B694BFB"/>
    <w:rsid w:val="7B6A26D2"/>
    <w:rsid w:val="7B6A44CF"/>
    <w:rsid w:val="7B6A5D55"/>
    <w:rsid w:val="7B707D38"/>
    <w:rsid w:val="7B7470FC"/>
    <w:rsid w:val="7B7517F2"/>
    <w:rsid w:val="7B7B492E"/>
    <w:rsid w:val="7B7D2A94"/>
    <w:rsid w:val="7B803CF3"/>
    <w:rsid w:val="7B825CBD"/>
    <w:rsid w:val="7B827A6B"/>
    <w:rsid w:val="7B851309"/>
    <w:rsid w:val="7B8657AD"/>
    <w:rsid w:val="7B86755B"/>
    <w:rsid w:val="7B917113"/>
    <w:rsid w:val="7B966AD3"/>
    <w:rsid w:val="7BA7127F"/>
    <w:rsid w:val="7BA94FF8"/>
    <w:rsid w:val="7BAD4D49"/>
    <w:rsid w:val="7BAF02C3"/>
    <w:rsid w:val="7BB06386"/>
    <w:rsid w:val="7BB10292"/>
    <w:rsid w:val="7BB120FE"/>
    <w:rsid w:val="7BB3231A"/>
    <w:rsid w:val="7BB340C8"/>
    <w:rsid w:val="7BBA5457"/>
    <w:rsid w:val="7BBB1B1E"/>
    <w:rsid w:val="7BBB3132"/>
    <w:rsid w:val="7BBF0CBF"/>
    <w:rsid w:val="7BC13F36"/>
    <w:rsid w:val="7BC9706A"/>
    <w:rsid w:val="7BCD518A"/>
    <w:rsid w:val="7BCE4A5E"/>
    <w:rsid w:val="7BD07250"/>
    <w:rsid w:val="7BD227A0"/>
    <w:rsid w:val="7BD83B2F"/>
    <w:rsid w:val="7BDA2517"/>
    <w:rsid w:val="7BE2055F"/>
    <w:rsid w:val="7BE26839"/>
    <w:rsid w:val="7BE66031"/>
    <w:rsid w:val="7BEA093F"/>
    <w:rsid w:val="7BEE5100"/>
    <w:rsid w:val="7BF03B43"/>
    <w:rsid w:val="7BF2699E"/>
    <w:rsid w:val="7C027CEC"/>
    <w:rsid w:val="7C036DFE"/>
    <w:rsid w:val="7C084414"/>
    <w:rsid w:val="7C086468"/>
    <w:rsid w:val="7C1078C2"/>
    <w:rsid w:val="7C112CBA"/>
    <w:rsid w:val="7C120DEF"/>
    <w:rsid w:val="7C140119"/>
    <w:rsid w:val="7C154915"/>
    <w:rsid w:val="7C1A7CA3"/>
    <w:rsid w:val="7C1C7EBF"/>
    <w:rsid w:val="7C1E59E5"/>
    <w:rsid w:val="7C1F350C"/>
    <w:rsid w:val="7C23124E"/>
    <w:rsid w:val="7C30396B"/>
    <w:rsid w:val="7C310209"/>
    <w:rsid w:val="7C324FED"/>
    <w:rsid w:val="7C3A0F39"/>
    <w:rsid w:val="7C4116D4"/>
    <w:rsid w:val="7C460A98"/>
    <w:rsid w:val="7C4D5A0A"/>
    <w:rsid w:val="7C5238E1"/>
    <w:rsid w:val="7C5533D1"/>
    <w:rsid w:val="7C585FC1"/>
    <w:rsid w:val="7C586828"/>
    <w:rsid w:val="7C5B60AA"/>
    <w:rsid w:val="7C62373C"/>
    <w:rsid w:val="7C6929D9"/>
    <w:rsid w:val="7C6E7DDD"/>
    <w:rsid w:val="7C720396"/>
    <w:rsid w:val="7C7575D0"/>
    <w:rsid w:val="7C7D5DB7"/>
    <w:rsid w:val="7C7E361A"/>
    <w:rsid w:val="7C7E46D6"/>
    <w:rsid w:val="7C7F3FAA"/>
    <w:rsid w:val="7C890CC2"/>
    <w:rsid w:val="7C8B75D7"/>
    <w:rsid w:val="7C8D2B6B"/>
    <w:rsid w:val="7C8D4919"/>
    <w:rsid w:val="7C93416E"/>
    <w:rsid w:val="7C9944BA"/>
    <w:rsid w:val="7C9B7036"/>
    <w:rsid w:val="7CA06EA3"/>
    <w:rsid w:val="7CA94958"/>
    <w:rsid w:val="7CAB4D9F"/>
    <w:rsid w:val="7CAC0368"/>
    <w:rsid w:val="7CAF4C5E"/>
    <w:rsid w:val="7CB24380"/>
    <w:rsid w:val="7CB40242"/>
    <w:rsid w:val="7CB50753"/>
    <w:rsid w:val="7CBB76D8"/>
    <w:rsid w:val="7CBF57FB"/>
    <w:rsid w:val="7CC04823"/>
    <w:rsid w:val="7CC85951"/>
    <w:rsid w:val="7CCA791B"/>
    <w:rsid w:val="7CCD740C"/>
    <w:rsid w:val="7CCF018B"/>
    <w:rsid w:val="7CD40F68"/>
    <w:rsid w:val="7CDD4BC3"/>
    <w:rsid w:val="7CE32CC0"/>
    <w:rsid w:val="7CE363E1"/>
    <w:rsid w:val="7CED39F7"/>
    <w:rsid w:val="7CF404F4"/>
    <w:rsid w:val="7CF44116"/>
    <w:rsid w:val="7CF77FE5"/>
    <w:rsid w:val="7CFC6AAB"/>
    <w:rsid w:val="7D050953"/>
    <w:rsid w:val="7D052701"/>
    <w:rsid w:val="7D0C3A90"/>
    <w:rsid w:val="7D0F17D2"/>
    <w:rsid w:val="7D0F4608"/>
    <w:rsid w:val="7D1072A5"/>
    <w:rsid w:val="7D11008D"/>
    <w:rsid w:val="7D131435"/>
    <w:rsid w:val="7D1D50FB"/>
    <w:rsid w:val="7D2741D3"/>
    <w:rsid w:val="7D293AA0"/>
    <w:rsid w:val="7D2A65E2"/>
    <w:rsid w:val="7D2E7EAA"/>
    <w:rsid w:val="7D311748"/>
    <w:rsid w:val="7D3235CD"/>
    <w:rsid w:val="7D32497B"/>
    <w:rsid w:val="7D331AB1"/>
    <w:rsid w:val="7D350373"/>
    <w:rsid w:val="7D390F55"/>
    <w:rsid w:val="7D3B4B44"/>
    <w:rsid w:val="7D3B5470"/>
    <w:rsid w:val="7D3D1E9B"/>
    <w:rsid w:val="7D3E132E"/>
    <w:rsid w:val="7D3F2650"/>
    <w:rsid w:val="7D44147C"/>
    <w:rsid w:val="7D4A6BBE"/>
    <w:rsid w:val="7D4B752C"/>
    <w:rsid w:val="7D50587C"/>
    <w:rsid w:val="7D5214C6"/>
    <w:rsid w:val="7D52346D"/>
    <w:rsid w:val="7D536B7B"/>
    <w:rsid w:val="7D592B52"/>
    <w:rsid w:val="7D5B241E"/>
    <w:rsid w:val="7D5B67C5"/>
    <w:rsid w:val="7D5E1E12"/>
    <w:rsid w:val="7D5F040E"/>
    <w:rsid w:val="7D60202E"/>
    <w:rsid w:val="7D603DDC"/>
    <w:rsid w:val="7D605B8A"/>
    <w:rsid w:val="7D626CDB"/>
    <w:rsid w:val="7D6A6A08"/>
    <w:rsid w:val="7D6D5CD0"/>
    <w:rsid w:val="7D6F401F"/>
    <w:rsid w:val="7D715FE9"/>
    <w:rsid w:val="7D717D97"/>
    <w:rsid w:val="7D747BAC"/>
    <w:rsid w:val="7D77678C"/>
    <w:rsid w:val="7D787377"/>
    <w:rsid w:val="7D797974"/>
    <w:rsid w:val="7D7A4E9D"/>
    <w:rsid w:val="7D7B0C16"/>
    <w:rsid w:val="7D7C62F5"/>
    <w:rsid w:val="7D813877"/>
    <w:rsid w:val="7D886198"/>
    <w:rsid w:val="7D8949B4"/>
    <w:rsid w:val="7D8C3171"/>
    <w:rsid w:val="7D8C4C99"/>
    <w:rsid w:val="7D8D7597"/>
    <w:rsid w:val="7D9107CC"/>
    <w:rsid w:val="7D921BFB"/>
    <w:rsid w:val="7D937A0E"/>
    <w:rsid w:val="7D957F29"/>
    <w:rsid w:val="7D992EE2"/>
    <w:rsid w:val="7D994D5D"/>
    <w:rsid w:val="7D9D0B8C"/>
    <w:rsid w:val="7D9F333B"/>
    <w:rsid w:val="7DA10A0F"/>
    <w:rsid w:val="7DA43CC8"/>
    <w:rsid w:val="7DA752ED"/>
    <w:rsid w:val="7DA939D5"/>
    <w:rsid w:val="7DB21B6D"/>
    <w:rsid w:val="7DB242A7"/>
    <w:rsid w:val="7DB87774"/>
    <w:rsid w:val="7DB92A9C"/>
    <w:rsid w:val="7DBA4260"/>
    <w:rsid w:val="7DBC050C"/>
    <w:rsid w:val="7DC02D56"/>
    <w:rsid w:val="7DC45C1B"/>
    <w:rsid w:val="7DC600E3"/>
    <w:rsid w:val="7DC720AD"/>
    <w:rsid w:val="7DC84D7D"/>
    <w:rsid w:val="7DC97BD3"/>
    <w:rsid w:val="7DCB3ACD"/>
    <w:rsid w:val="7DCC0512"/>
    <w:rsid w:val="7DD047CF"/>
    <w:rsid w:val="7DD3057F"/>
    <w:rsid w:val="7DD56578"/>
    <w:rsid w:val="7DD7257A"/>
    <w:rsid w:val="7DDA2EA4"/>
    <w:rsid w:val="7DDB01A1"/>
    <w:rsid w:val="7DDC406E"/>
    <w:rsid w:val="7DE06CCB"/>
    <w:rsid w:val="7DE247F1"/>
    <w:rsid w:val="7DEB38EB"/>
    <w:rsid w:val="7DED5311"/>
    <w:rsid w:val="7DEE13E8"/>
    <w:rsid w:val="7DEE3982"/>
    <w:rsid w:val="7DF221CE"/>
    <w:rsid w:val="7DF46519"/>
    <w:rsid w:val="7DF5428B"/>
    <w:rsid w:val="7DF6029C"/>
    <w:rsid w:val="7DFC1D56"/>
    <w:rsid w:val="7E0108BE"/>
    <w:rsid w:val="7E01736D"/>
    <w:rsid w:val="7E024E93"/>
    <w:rsid w:val="7E06489D"/>
    <w:rsid w:val="7E1140F2"/>
    <w:rsid w:val="7E116984"/>
    <w:rsid w:val="7E154BC6"/>
    <w:rsid w:val="7E1D1AB6"/>
    <w:rsid w:val="7E1F3C97"/>
    <w:rsid w:val="7E2038A1"/>
    <w:rsid w:val="7E2412AD"/>
    <w:rsid w:val="7E2748F9"/>
    <w:rsid w:val="7E2C12BE"/>
    <w:rsid w:val="7E2E3EDA"/>
    <w:rsid w:val="7E324B4C"/>
    <w:rsid w:val="7E341D9C"/>
    <w:rsid w:val="7E350DC4"/>
    <w:rsid w:val="7E375D5E"/>
    <w:rsid w:val="7E3C2C6E"/>
    <w:rsid w:val="7E3D5ECB"/>
    <w:rsid w:val="7E417769"/>
    <w:rsid w:val="7E4234E1"/>
    <w:rsid w:val="7E436536"/>
    <w:rsid w:val="7E440A1B"/>
    <w:rsid w:val="7E4436FD"/>
    <w:rsid w:val="7E4609A7"/>
    <w:rsid w:val="7E487E69"/>
    <w:rsid w:val="7E4C610E"/>
    <w:rsid w:val="7E4D4360"/>
    <w:rsid w:val="7E5020A2"/>
    <w:rsid w:val="7E551467"/>
    <w:rsid w:val="7E553215"/>
    <w:rsid w:val="7E583E4B"/>
    <w:rsid w:val="7E5A082B"/>
    <w:rsid w:val="7E651E7C"/>
    <w:rsid w:val="7E684D49"/>
    <w:rsid w:val="7E6F077A"/>
    <w:rsid w:val="7E725B75"/>
    <w:rsid w:val="7E74391E"/>
    <w:rsid w:val="7E7933A7"/>
    <w:rsid w:val="7E7C03B0"/>
    <w:rsid w:val="7E81400A"/>
    <w:rsid w:val="7E815B71"/>
    <w:rsid w:val="7E816B7F"/>
    <w:rsid w:val="7E835FD4"/>
    <w:rsid w:val="7E8666DE"/>
    <w:rsid w:val="7E8745C3"/>
    <w:rsid w:val="7E876A62"/>
    <w:rsid w:val="7E8E6219"/>
    <w:rsid w:val="7E906938"/>
    <w:rsid w:val="7E933E58"/>
    <w:rsid w:val="7E9755DB"/>
    <w:rsid w:val="7E9941A9"/>
    <w:rsid w:val="7E9B7CBA"/>
    <w:rsid w:val="7E9E696A"/>
    <w:rsid w:val="7E9E7F46"/>
    <w:rsid w:val="7E9F1065"/>
    <w:rsid w:val="7EA47CF8"/>
    <w:rsid w:val="7EAA17B2"/>
    <w:rsid w:val="7EAB4931"/>
    <w:rsid w:val="7EAE1E1F"/>
    <w:rsid w:val="7EB4439D"/>
    <w:rsid w:val="7EB62BE1"/>
    <w:rsid w:val="7EB663A9"/>
    <w:rsid w:val="7EB94193"/>
    <w:rsid w:val="7EBC14E6"/>
    <w:rsid w:val="7EBC7738"/>
    <w:rsid w:val="7EBE525E"/>
    <w:rsid w:val="7EC1131E"/>
    <w:rsid w:val="7EC23181"/>
    <w:rsid w:val="7EC5039A"/>
    <w:rsid w:val="7EC539DC"/>
    <w:rsid w:val="7EC637CE"/>
    <w:rsid w:val="7ED607F9"/>
    <w:rsid w:val="7ED77983"/>
    <w:rsid w:val="7EDE145C"/>
    <w:rsid w:val="7EE017F2"/>
    <w:rsid w:val="7EE43A29"/>
    <w:rsid w:val="7EE84089"/>
    <w:rsid w:val="7EEA7E01"/>
    <w:rsid w:val="7EED64DB"/>
    <w:rsid w:val="7EF2575C"/>
    <w:rsid w:val="7EF7251E"/>
    <w:rsid w:val="7F005678"/>
    <w:rsid w:val="7F005876"/>
    <w:rsid w:val="7F054C3B"/>
    <w:rsid w:val="7F076C05"/>
    <w:rsid w:val="7F0A2251"/>
    <w:rsid w:val="7F0A7314"/>
    <w:rsid w:val="7F0F3B6B"/>
    <w:rsid w:val="7F1135E0"/>
    <w:rsid w:val="7F11402B"/>
    <w:rsid w:val="7F121106"/>
    <w:rsid w:val="7F135B7D"/>
    <w:rsid w:val="7F1B445E"/>
    <w:rsid w:val="7F24733D"/>
    <w:rsid w:val="7F2826D7"/>
    <w:rsid w:val="7F286B7B"/>
    <w:rsid w:val="7F2A46A1"/>
    <w:rsid w:val="7F2F290D"/>
    <w:rsid w:val="7F3661AD"/>
    <w:rsid w:val="7F370B6C"/>
    <w:rsid w:val="7F39023D"/>
    <w:rsid w:val="7F39083A"/>
    <w:rsid w:val="7F3C6183"/>
    <w:rsid w:val="7F4736ED"/>
    <w:rsid w:val="7F482D79"/>
    <w:rsid w:val="7F496EC0"/>
    <w:rsid w:val="7F4A035F"/>
    <w:rsid w:val="7F5034BD"/>
    <w:rsid w:val="7F524368"/>
    <w:rsid w:val="7F547970"/>
    <w:rsid w:val="7F5867C0"/>
    <w:rsid w:val="7F596D35"/>
    <w:rsid w:val="7F59789B"/>
    <w:rsid w:val="7F5B2AAD"/>
    <w:rsid w:val="7F622443"/>
    <w:rsid w:val="7F643D43"/>
    <w:rsid w:val="7F64763D"/>
    <w:rsid w:val="7F6F0306"/>
    <w:rsid w:val="7F6F3F14"/>
    <w:rsid w:val="7F6F6558"/>
    <w:rsid w:val="7F70059C"/>
    <w:rsid w:val="7F735751"/>
    <w:rsid w:val="7F7A00AD"/>
    <w:rsid w:val="7F7E59EA"/>
    <w:rsid w:val="7F8518D8"/>
    <w:rsid w:val="7F8525C6"/>
    <w:rsid w:val="7F8527B8"/>
    <w:rsid w:val="7F8F1EB3"/>
    <w:rsid w:val="7F8F2756"/>
    <w:rsid w:val="7F912972"/>
    <w:rsid w:val="7F914720"/>
    <w:rsid w:val="7F923FF5"/>
    <w:rsid w:val="7F934E42"/>
    <w:rsid w:val="7F9658C9"/>
    <w:rsid w:val="7F9B3D14"/>
    <w:rsid w:val="7F9D4E73"/>
    <w:rsid w:val="7FA206DC"/>
    <w:rsid w:val="7FA53980"/>
    <w:rsid w:val="7FA53D28"/>
    <w:rsid w:val="7FA91A6A"/>
    <w:rsid w:val="7FAA2B99"/>
    <w:rsid w:val="7FAA7590"/>
    <w:rsid w:val="7FAC50B6"/>
    <w:rsid w:val="7FAE52D2"/>
    <w:rsid w:val="7FB24B49"/>
    <w:rsid w:val="7FB65F35"/>
    <w:rsid w:val="7FBB79EF"/>
    <w:rsid w:val="7FBD5515"/>
    <w:rsid w:val="7FC24F37"/>
    <w:rsid w:val="7FC9210C"/>
    <w:rsid w:val="7FCB5E84"/>
    <w:rsid w:val="7FCE327F"/>
    <w:rsid w:val="7FD03DB0"/>
    <w:rsid w:val="7FD215DB"/>
    <w:rsid w:val="7FDE4398"/>
    <w:rsid w:val="7FE01204"/>
    <w:rsid w:val="7FE645DF"/>
    <w:rsid w:val="7FE74340"/>
    <w:rsid w:val="7FEE56CF"/>
    <w:rsid w:val="7FF13411"/>
    <w:rsid w:val="7FF30F37"/>
    <w:rsid w:val="7FF32CE5"/>
    <w:rsid w:val="7FF531DE"/>
    <w:rsid w:val="7FF76C79"/>
    <w:rsid w:val="7FFB7DEC"/>
    <w:rsid w:val="7FFD6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nhideWhenUsed="0"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sdException w:unhideWhenUsed="0" w:uiPriority="0" w:semiHidden="0" w:name="index 9" w:locked="1"/>
    <w:lsdException w:qFormat="1" w:unhideWhenUsed="0" w:uiPriority="39" w:semiHidden="0" w:name="toc 1" w:locked="1"/>
    <w:lsdException w:unhideWhenUsed="0" w:uiPriority="0"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ocked="1"/>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ocked="1"/>
    <w:lsdException w:unhideWhenUsed="0" w:uiPriority="0" w:semiHidden="0" w:name="endnote text"/>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sdException w:unhideWhenUsed="0" w:uiPriority="0" w:semiHidden="0" w:name="List Bullet" w:locked="1"/>
    <w:lsdException w:unhideWhenUsed="0" w:uiPriority="0" w:semiHidden="0" w:name="List Number" w:locked="1"/>
    <w:lsdException w:unhideWhenUsed="0" w:uiPriority="0" w:semiHidden="0" w:name="List 2"/>
    <w:lsdException w:unhideWhenUsed="0" w:uiPriority="0" w:semiHidden="0" w:name="List 3"/>
    <w:lsdException w:unhideWhenUsed="0" w:uiPriority="0" w:semiHidden="0" w:name="List 4" w:locked="1"/>
    <w:lsdException w:unhideWhenUsed="0" w:uiPriority="0" w:semiHidden="0" w:name="List 5" w:locked="1"/>
    <w:lsdException w:unhideWhenUsed="0" w:uiPriority="0" w:semiHidden="0" w:name="List Bullet 2"/>
    <w:lsdException w:unhideWhenUsed="0" w:uiPriority="0" w:semiHidden="0" w:name="List Bullet 3" w:locked="1"/>
    <w:lsdException w:unhideWhenUsed="0" w:uiPriority="0" w:semiHidden="0" w:name="List Bullet 4" w:locked="1"/>
    <w:lsdException w:unhideWhenUsed="0" w:uiPriority="0" w:semiHidden="0" w:name="List Bullet 5"/>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ocked="1"/>
    <w:lsdException w:unhideWhenUsed="0" w:uiPriority="0" w:semiHidden="0" w:name="Body Text 2" w:locked="1"/>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ocked="1"/>
    <w:lsdException w:unhideWhenUsed="0" w:uiPriority="0" w:semiHidden="0" w:name="Hyperlink"/>
    <w:lsdException w:unhideWhenUsed="0" w:uiPriority="0" w:semiHidden="0" w:name="FollowedHyperlink" w:locked="1"/>
    <w:lsdException w:qFormat="1" w:unhideWhenUsed="0" w:uiPriority="0" w:semiHidden="0" w:name="Strong"/>
    <w:lsdException w:qFormat="1" w:unhideWhenUsed="0" w:uiPriority="0" w:semiHidden="0" w:name="Emphasis"/>
    <w:lsdException w:unhideWhenUsed="0" w:uiPriority="0" w:semiHidden="0" w:name="Document Map" w:locked="1"/>
    <w:lsdException w:unhideWhenUsed="0" w:uiPriority="0" w:semiHidden="0" w:name="Plain Text"/>
    <w:lsdException w:unhideWhenUsed="0" w:uiPriority="0" w:semiHidden="0" w:name="E-mail Signature" w:locked="1"/>
    <w:lsdException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0" w:semiHidden="0" w:name="Table Grid"/>
    <w:lsdException w:qFormat="1"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snapToGrid w:val="0"/>
      <w:spacing w:line="320" w:lineRule="exact"/>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0"/>
    <w:autoRedefine/>
    <w:qFormat/>
    <w:locked/>
    <w:uiPriority w:val="0"/>
    <w:pPr>
      <w:keepNext/>
      <w:overflowPunct w:val="0"/>
      <w:jc w:val="center"/>
      <w:outlineLvl w:val="0"/>
    </w:pPr>
    <w:rPr>
      <w:rFonts w:eastAsia="黑体"/>
      <w:bCs/>
      <w:color w:val="000000"/>
      <w:kern w:val="44"/>
      <w:sz w:val="30"/>
      <w:szCs w:val="30"/>
    </w:rPr>
  </w:style>
  <w:style w:type="paragraph" w:styleId="3">
    <w:name w:val="heading 2"/>
    <w:basedOn w:val="1"/>
    <w:next w:val="1"/>
    <w:link w:val="21"/>
    <w:autoRedefine/>
    <w:unhideWhenUsed/>
    <w:qFormat/>
    <w:locked/>
    <w:uiPriority w:val="0"/>
    <w:pPr>
      <w:keepNext/>
      <w:keepLines/>
      <w:spacing w:before="260" w:after="260" w:line="416" w:lineRule="atLeast"/>
      <w:outlineLvl w:val="1"/>
    </w:pPr>
    <w:rPr>
      <w:rFonts w:ascii="Calibri Light" w:hAnsi="Calibri Light"/>
      <w:b/>
      <w:bCs/>
      <w:sz w:val="32"/>
      <w:szCs w:val="32"/>
    </w:rPr>
  </w:style>
  <w:style w:type="paragraph" w:styleId="4">
    <w:name w:val="heading 3"/>
    <w:basedOn w:val="1"/>
    <w:next w:val="1"/>
    <w:link w:val="22"/>
    <w:autoRedefine/>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link w:val="23"/>
    <w:autoRedefine/>
    <w:qFormat/>
    <w:locked/>
    <w:uiPriority w:val="0"/>
    <w:pPr>
      <w:keepNext/>
      <w:keepLines/>
      <w:spacing w:before="50" w:beforeLines="50" w:after="120" w:line="440" w:lineRule="exact"/>
      <w:outlineLvl w:val="3"/>
    </w:pPr>
    <w:rPr>
      <w:rFonts w:cs="Calibri"/>
      <w:bCs/>
      <w:szCs w:val="28"/>
    </w:rPr>
  </w:style>
  <w:style w:type="paragraph" w:styleId="6">
    <w:name w:val="heading 5"/>
    <w:basedOn w:val="1"/>
    <w:next w:val="1"/>
    <w:link w:val="24"/>
    <w:autoRedefine/>
    <w:qFormat/>
    <w:locked/>
    <w:uiPriority w:val="0"/>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link w:val="25"/>
    <w:autoRedefine/>
    <w:qFormat/>
    <w:locked/>
    <w:uiPriority w:val="0"/>
    <w:pPr>
      <w:spacing w:line="240" w:lineRule="auto"/>
      <w:jc w:val="center"/>
    </w:pPr>
    <w:rPr>
      <w:b/>
      <w:bCs/>
      <w:szCs w:val="20"/>
    </w:rPr>
  </w:style>
  <w:style w:type="paragraph" w:styleId="8">
    <w:name w:val="annotation text"/>
    <w:basedOn w:val="1"/>
    <w:link w:val="56"/>
    <w:qFormat/>
    <w:uiPriority w:val="0"/>
    <w:pPr>
      <w:jc w:val="left"/>
    </w:pPr>
  </w:style>
  <w:style w:type="paragraph" w:styleId="9">
    <w:name w:val="Body Text"/>
    <w:basedOn w:val="1"/>
    <w:next w:val="1"/>
    <w:link w:val="50"/>
    <w:autoRedefine/>
    <w:qFormat/>
    <w:uiPriority w:val="0"/>
    <w:pPr>
      <w:widowControl/>
      <w:spacing w:before="60" w:after="160" w:line="259" w:lineRule="auto"/>
      <w:ind w:right="113"/>
    </w:pPr>
    <w:rPr>
      <w:kern w:val="0"/>
      <w:szCs w:val="20"/>
    </w:rPr>
  </w:style>
  <w:style w:type="paragraph" w:styleId="10">
    <w:name w:val="Balloon Text"/>
    <w:basedOn w:val="1"/>
    <w:link w:val="55"/>
    <w:qFormat/>
    <w:uiPriority w:val="0"/>
    <w:pPr>
      <w:spacing w:line="240" w:lineRule="auto"/>
    </w:pPr>
    <w:rPr>
      <w:sz w:val="18"/>
      <w:szCs w:val="18"/>
    </w:rPr>
  </w:style>
  <w:style w:type="paragraph" w:styleId="11">
    <w:name w:val="footer"/>
    <w:basedOn w:val="1"/>
    <w:qFormat/>
    <w:uiPriority w:val="99"/>
    <w:pPr>
      <w:tabs>
        <w:tab w:val="center" w:pos="4153"/>
        <w:tab w:val="right" w:pos="8306"/>
      </w:tabs>
      <w:jc w:val="left"/>
    </w:pPr>
    <w:rPr>
      <w:sz w:val="18"/>
      <w:szCs w:val="18"/>
    </w:rPr>
  </w:style>
  <w:style w:type="paragraph" w:styleId="12">
    <w:name w:val="toc 1"/>
    <w:basedOn w:val="1"/>
    <w:next w:val="1"/>
    <w:autoRedefine/>
    <w:qFormat/>
    <w:locked/>
    <w:uiPriority w:val="39"/>
    <w:pPr>
      <w:spacing w:line="360" w:lineRule="auto"/>
    </w:pPr>
    <w:rPr>
      <w:b/>
      <w:sz w:val="28"/>
    </w:rPr>
  </w:style>
  <w:style w:type="paragraph" w:styleId="13">
    <w:name w:val="Subtitle"/>
    <w:basedOn w:val="1"/>
    <w:next w:val="1"/>
    <w:link w:val="26"/>
    <w:autoRedefine/>
    <w:qFormat/>
    <w:locked/>
    <w:uiPriority w:val="0"/>
    <w:pPr>
      <w:spacing w:before="50" w:beforeLines="50" w:line="360" w:lineRule="auto"/>
      <w:ind w:firstLine="100" w:firstLineChars="100"/>
      <w:jc w:val="left"/>
      <w:outlineLvl w:val="1"/>
    </w:pPr>
    <w:rPr>
      <w:b/>
      <w:bCs/>
      <w:kern w:val="28"/>
      <w:sz w:val="28"/>
      <w:szCs w:val="32"/>
    </w:rPr>
  </w:style>
  <w:style w:type="paragraph" w:styleId="14">
    <w:name w:val="annotation subject"/>
    <w:basedOn w:val="8"/>
    <w:next w:val="8"/>
    <w:link w:val="57"/>
    <w:qFormat/>
    <w:uiPriority w:val="0"/>
    <w:rPr>
      <w:b/>
      <w:bCs/>
    </w:r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7">
    <w:name w:val="Table Theme"/>
    <w:basedOn w:val="15"/>
    <w:autoRedefine/>
    <w:qFormat/>
    <w:locked/>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annotation reference"/>
    <w:basedOn w:val="18"/>
    <w:qFormat/>
    <w:uiPriority w:val="0"/>
    <w:rPr>
      <w:sz w:val="21"/>
      <w:szCs w:val="21"/>
    </w:rPr>
  </w:style>
  <w:style w:type="character" w:customStyle="1" w:styleId="20">
    <w:name w:val="标题 1 Char"/>
    <w:link w:val="2"/>
    <w:autoRedefine/>
    <w:qFormat/>
    <w:uiPriority w:val="0"/>
    <w:rPr>
      <w:rFonts w:ascii="Times New Roman" w:hAnsi="Times New Roman" w:eastAsia="黑体"/>
      <w:bCs/>
      <w:color w:val="000000"/>
      <w:kern w:val="44"/>
      <w:sz w:val="30"/>
      <w:szCs w:val="30"/>
    </w:rPr>
  </w:style>
  <w:style w:type="character" w:customStyle="1" w:styleId="21">
    <w:name w:val="标题 2 Char"/>
    <w:link w:val="3"/>
    <w:autoRedefine/>
    <w:semiHidden/>
    <w:qFormat/>
    <w:uiPriority w:val="0"/>
    <w:rPr>
      <w:rFonts w:ascii="Calibri Light" w:hAnsi="Calibri Light"/>
      <w:b/>
      <w:bCs/>
      <w:kern w:val="2"/>
      <w:sz w:val="32"/>
      <w:szCs w:val="32"/>
    </w:rPr>
  </w:style>
  <w:style w:type="character" w:customStyle="1" w:styleId="22">
    <w:name w:val="标题 3 Char"/>
    <w:link w:val="4"/>
    <w:autoRedefine/>
    <w:qFormat/>
    <w:uiPriority w:val="0"/>
    <w:rPr>
      <w:b/>
      <w:bCs/>
      <w:kern w:val="2"/>
      <w:sz w:val="32"/>
      <w:szCs w:val="32"/>
    </w:rPr>
  </w:style>
  <w:style w:type="character" w:customStyle="1" w:styleId="23">
    <w:name w:val="标题 4 Char"/>
    <w:link w:val="5"/>
    <w:autoRedefine/>
    <w:qFormat/>
    <w:uiPriority w:val="0"/>
    <w:rPr>
      <w:rFonts w:cs="Calibri"/>
      <w:bCs/>
      <w:kern w:val="2"/>
      <w:sz w:val="24"/>
      <w:szCs w:val="28"/>
    </w:rPr>
  </w:style>
  <w:style w:type="character" w:customStyle="1" w:styleId="24">
    <w:name w:val="标题 5 Char"/>
    <w:link w:val="6"/>
    <w:autoRedefine/>
    <w:qFormat/>
    <w:uiPriority w:val="0"/>
    <w:rPr>
      <w:b/>
      <w:bCs/>
      <w:kern w:val="2"/>
      <w:sz w:val="28"/>
      <w:szCs w:val="28"/>
    </w:rPr>
  </w:style>
  <w:style w:type="character" w:customStyle="1" w:styleId="25">
    <w:name w:val="题注 Char"/>
    <w:link w:val="7"/>
    <w:autoRedefine/>
    <w:qFormat/>
    <w:uiPriority w:val="0"/>
    <w:rPr>
      <w:rFonts w:ascii="Times New Roman" w:hAnsi="Times New Roman" w:eastAsia="宋体" w:cs="Times New Roman"/>
      <w:b/>
      <w:bCs/>
      <w:kern w:val="2"/>
      <w:sz w:val="21"/>
      <w:szCs w:val="20"/>
      <w:lang w:val="en-US" w:eastAsia="zh-CN" w:bidi="ar-SA"/>
    </w:rPr>
  </w:style>
  <w:style w:type="character" w:customStyle="1" w:styleId="26">
    <w:name w:val="副标题 Char"/>
    <w:link w:val="13"/>
    <w:autoRedefine/>
    <w:qFormat/>
    <w:uiPriority w:val="0"/>
    <w:rPr>
      <w:rFonts w:cs="Times New Roman"/>
      <w:b/>
      <w:bCs/>
      <w:kern w:val="28"/>
      <w:sz w:val="28"/>
      <w:szCs w:val="32"/>
    </w:rPr>
  </w:style>
  <w:style w:type="table" w:customStyle="1" w:styleId="27">
    <w:name w:val="表格主题1"/>
    <w:basedOn w:val="15"/>
    <w:autoRedefine/>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
    <w:name w:val="网格型3"/>
    <w:basedOn w:val="15"/>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网格型172"/>
    <w:basedOn w:val="15"/>
    <w:autoRedefine/>
    <w:qFormat/>
    <w:uiPriority w:val="0"/>
    <w:pPr>
      <w:widowControl w:val="0"/>
      <w:adjustRightInd w:val="0"/>
      <w:snapToGrid w:val="0"/>
      <w:jc w:val="center"/>
    </w:pPr>
    <w:rPr>
      <w:rFonts w:eastAsia="方正仿宋_GB2312"/>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
    <w:trPr>
      <w:jc w:val="center"/>
    </w:trPr>
    <w:tcPr>
      <w:vAlign w:val="center"/>
    </w:tcPr>
    <w:tblStylePr w:type="firstRow">
      <w:pPr>
        <w:jc w:val="center"/>
      </w:pPr>
      <w:rPr>
        <w:rFonts w:ascii="Times New Roman" w:hAnsi="Times New Roman"/>
        <w:b/>
        <w:sz w:val="21"/>
      </w:rPr>
      <w:tcPr>
        <w:tcBorders>
          <w:top w:val="nil"/>
          <w:left w:val="nil"/>
          <w:bottom w:val="nil"/>
          <w:right w:val="nil"/>
          <w:insideH w:val="nil"/>
          <w:insideV w:val="nil"/>
          <w:tl2br w:val="nil"/>
          <w:tr2bl w:val="nil"/>
        </w:tcBorders>
      </w:tcPr>
    </w:tblStylePr>
  </w:style>
  <w:style w:type="table" w:customStyle="1" w:styleId="30">
    <w:name w:val="网格型17"/>
    <w:basedOn w:val="15"/>
    <w:autoRedefine/>
    <w:qFormat/>
    <w:uiPriority w:val="0"/>
    <w:pPr>
      <w:widowControl w:val="0"/>
      <w:adjustRightInd w:val="0"/>
      <w:snapToGrid w:val="0"/>
      <w:jc w:val="center"/>
    </w:pPr>
    <w:rPr>
      <w:rFonts w:eastAsia="方正仿宋_GB2312"/>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
    <w:trPr>
      <w:jc w:val="center"/>
    </w:trPr>
    <w:tcPr>
      <w:vAlign w:val="center"/>
    </w:tcPr>
    <w:tblStylePr w:type="firstRow">
      <w:pPr>
        <w:jc w:val="center"/>
      </w:pPr>
      <w:rPr>
        <w:rFonts w:ascii="Times New Roman" w:hAnsi="Times New Roman"/>
        <w:b/>
        <w:sz w:val="21"/>
      </w:rPr>
      <w:tcPr>
        <w:tcBorders>
          <w:top w:val="nil"/>
          <w:left w:val="nil"/>
          <w:bottom w:val="nil"/>
          <w:right w:val="nil"/>
          <w:insideH w:val="nil"/>
          <w:insideV w:val="nil"/>
          <w:tl2br w:val="nil"/>
          <w:tr2bl w:val="nil"/>
        </w:tcBorders>
      </w:tcPr>
    </w:tblStylePr>
  </w:style>
  <w:style w:type="table" w:customStyle="1" w:styleId="31">
    <w:name w:val="网格型173"/>
    <w:basedOn w:val="15"/>
    <w:autoRedefine/>
    <w:qFormat/>
    <w:uiPriority w:val="0"/>
    <w:pPr>
      <w:widowControl w:val="0"/>
      <w:adjustRightInd w:val="0"/>
      <w:snapToGrid w:val="0"/>
      <w:jc w:val="center"/>
    </w:pPr>
    <w:rPr>
      <w:rFonts w:eastAsia="方正仿宋_GB2312"/>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
    <w:trPr>
      <w:jc w:val="center"/>
    </w:trPr>
    <w:tcPr>
      <w:vAlign w:val="center"/>
    </w:tcPr>
    <w:tblStylePr w:type="firstRow">
      <w:pPr>
        <w:jc w:val="center"/>
      </w:pPr>
      <w:rPr>
        <w:rFonts w:ascii="Times New Roman" w:hAnsi="Times New Roman"/>
        <w:b/>
        <w:sz w:val="21"/>
      </w:rPr>
      <w:tcPr>
        <w:tcBorders>
          <w:top w:val="nil"/>
          <w:left w:val="nil"/>
          <w:bottom w:val="nil"/>
          <w:right w:val="nil"/>
          <w:insideH w:val="nil"/>
          <w:insideV w:val="nil"/>
          <w:tl2br w:val="nil"/>
          <w:tr2bl w:val="nil"/>
        </w:tcBorders>
      </w:tcPr>
    </w:tblStylePr>
  </w:style>
  <w:style w:type="table" w:customStyle="1" w:styleId="32">
    <w:name w:val="网格型22"/>
    <w:basedOn w:val="15"/>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
    <w:name w:val="表格类型1"/>
    <w:basedOn w:val="15"/>
    <w:autoRedefine/>
    <w:qFormat/>
    <w:uiPriority w:val="3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
    <w:name w:val="网格型171"/>
    <w:basedOn w:val="15"/>
    <w:autoRedefine/>
    <w:qFormat/>
    <w:uiPriority w:val="0"/>
    <w:pPr>
      <w:widowControl w:val="0"/>
      <w:adjustRightInd w:val="0"/>
      <w:snapToGrid w:val="0"/>
      <w:jc w:val="center"/>
    </w:pPr>
    <w:rPr>
      <w:rFonts w:eastAsia="方正仿宋_GB2312"/>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
    <w:trPr>
      <w:jc w:val="center"/>
    </w:trPr>
    <w:tcPr>
      <w:vAlign w:val="center"/>
    </w:tcPr>
    <w:tblStylePr w:type="firstRow">
      <w:pPr>
        <w:jc w:val="center"/>
      </w:pPr>
      <w:rPr>
        <w:rFonts w:ascii="Times New Roman" w:hAnsi="Times New Roman"/>
        <w:b/>
        <w:sz w:val="21"/>
      </w:rPr>
      <w:tcPr>
        <w:tcBorders>
          <w:top w:val="nil"/>
          <w:left w:val="nil"/>
          <w:bottom w:val="nil"/>
          <w:right w:val="nil"/>
          <w:insideH w:val="nil"/>
          <w:insideV w:val="nil"/>
          <w:tl2br w:val="nil"/>
          <w:tr2bl w:val="nil"/>
        </w:tcBorders>
      </w:tcPr>
    </w:tblStylePr>
  </w:style>
  <w:style w:type="table" w:customStyle="1" w:styleId="35">
    <w:name w:val="网格型2"/>
    <w:basedOn w:val="15"/>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
    <w:name w:val="表格类型11"/>
    <w:basedOn w:val="15"/>
    <w:autoRedefine/>
    <w:qFormat/>
    <w:uiPriority w:val="3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网格型4"/>
    <w:basedOn w:val="15"/>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
    <w:name w:val="网格型23"/>
    <w:basedOn w:val="15"/>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
    <w:name w:val="表格主题3"/>
    <w:basedOn w:val="15"/>
    <w:autoRedefine/>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
    <w:name w:val="表格类型12"/>
    <w:basedOn w:val="15"/>
    <w:autoRedefine/>
    <w:qFormat/>
    <w:uiPriority w:val="3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
    <w:name w:val="网格型5"/>
    <w:basedOn w:val="15"/>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
    <w:name w:val="表格主题2"/>
    <w:basedOn w:val="15"/>
    <w:autoRedefine/>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
    <w:name w:val="网格型21"/>
    <w:basedOn w:val="15"/>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
    <w:name w:val="Table Normal"/>
    <w:basedOn w:val="15"/>
    <w:autoRedefine/>
    <w:unhideWhenUsed/>
    <w:qFormat/>
    <w:uiPriority w:val="2"/>
    <w:tblPr>
      <w:tblCellMar>
        <w:top w:w="0" w:type="dxa"/>
        <w:left w:w="0" w:type="dxa"/>
        <w:bottom w:w="0" w:type="dxa"/>
        <w:right w:w="0" w:type="dxa"/>
      </w:tblCellMar>
    </w:tblPr>
  </w:style>
  <w:style w:type="paragraph" w:customStyle="1" w:styleId="45">
    <w:name w:val="修订1"/>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46">
    <w:name w:val="正文文本 Char"/>
    <w:basedOn w:val="18"/>
    <w:autoRedefine/>
    <w:qFormat/>
    <w:uiPriority w:val="0"/>
    <w:rPr>
      <w:kern w:val="2"/>
      <w:sz w:val="21"/>
      <w:szCs w:val="24"/>
    </w:rPr>
  </w:style>
  <w:style w:type="paragraph" w:customStyle="1" w:styleId="47">
    <w:name w:val="正文张"/>
    <w:basedOn w:val="1"/>
    <w:link w:val="48"/>
    <w:autoRedefine/>
    <w:qFormat/>
    <w:uiPriority w:val="0"/>
    <w:pPr>
      <w:spacing w:line="360" w:lineRule="auto"/>
      <w:ind w:firstLine="1440" w:firstLineChars="200"/>
    </w:pPr>
    <w:rPr>
      <w:sz w:val="24"/>
    </w:rPr>
  </w:style>
  <w:style w:type="character" w:customStyle="1" w:styleId="48">
    <w:name w:val="正文张 Char"/>
    <w:link w:val="47"/>
    <w:autoRedefine/>
    <w:qFormat/>
    <w:uiPriority w:val="0"/>
    <w:rPr>
      <w:rFonts w:ascii="Times New Roman" w:hAnsi="Times New Roman" w:eastAsia="宋体"/>
      <w:color w:val="auto"/>
      <w:sz w:val="24"/>
    </w:rPr>
  </w:style>
  <w:style w:type="paragraph" w:customStyle="1" w:styleId="49">
    <w:name w:val="表头加粗"/>
    <w:basedOn w:val="1"/>
    <w:link w:val="52"/>
    <w:qFormat/>
    <w:uiPriority w:val="0"/>
    <w:pPr>
      <w:spacing w:line="240" w:lineRule="auto"/>
      <w:jc w:val="center"/>
    </w:pPr>
    <w:rPr>
      <w:b/>
      <w:bCs/>
    </w:rPr>
  </w:style>
  <w:style w:type="character" w:customStyle="1" w:styleId="50">
    <w:name w:val="正文文本 Char1"/>
    <w:basedOn w:val="18"/>
    <w:link w:val="9"/>
    <w:qFormat/>
    <w:uiPriority w:val="0"/>
    <w:rPr>
      <w:rFonts w:ascii="Times New Roman" w:hAnsi="Times New Roman" w:eastAsia="宋体" w:cs="Times New Roman"/>
      <w:sz w:val="24"/>
      <w:szCs w:val="20"/>
    </w:rPr>
  </w:style>
  <w:style w:type="paragraph" w:customStyle="1" w:styleId="51">
    <w:name w:val="表格正文张"/>
    <w:basedOn w:val="1"/>
    <w:link w:val="53"/>
    <w:autoRedefine/>
    <w:qFormat/>
    <w:uiPriority w:val="0"/>
    <w:pPr>
      <w:spacing w:line="240" w:lineRule="auto"/>
      <w:jc w:val="center"/>
    </w:pPr>
  </w:style>
  <w:style w:type="character" w:customStyle="1" w:styleId="52">
    <w:name w:val="表头加粗 Char"/>
    <w:link w:val="49"/>
    <w:qFormat/>
    <w:uiPriority w:val="0"/>
    <w:rPr>
      <w:b/>
      <w:bCs/>
    </w:rPr>
  </w:style>
  <w:style w:type="character" w:customStyle="1" w:styleId="53">
    <w:name w:val="表格正文张 Char"/>
    <w:link w:val="51"/>
    <w:qFormat/>
    <w:uiPriority w:val="0"/>
  </w:style>
  <w:style w:type="table" w:customStyle="1" w:styleId="54">
    <w:name w:val="环评表格"/>
    <w:basedOn w:val="17"/>
    <w:qFormat/>
    <w:uiPriority w:val="0"/>
    <w:pPr>
      <w:jc w:val="center"/>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character" w:customStyle="1" w:styleId="55">
    <w:name w:val="批注框文本 Char"/>
    <w:basedOn w:val="18"/>
    <w:link w:val="10"/>
    <w:qFormat/>
    <w:uiPriority w:val="0"/>
    <w:rPr>
      <w:kern w:val="2"/>
      <w:sz w:val="18"/>
      <w:szCs w:val="18"/>
    </w:rPr>
  </w:style>
  <w:style w:type="character" w:customStyle="1" w:styleId="56">
    <w:name w:val="批注文字 Char"/>
    <w:basedOn w:val="18"/>
    <w:link w:val="8"/>
    <w:qFormat/>
    <w:uiPriority w:val="0"/>
    <w:rPr>
      <w:kern w:val="2"/>
      <w:sz w:val="21"/>
      <w:szCs w:val="21"/>
    </w:rPr>
  </w:style>
  <w:style w:type="character" w:customStyle="1" w:styleId="57">
    <w:name w:val="批注主题 Char"/>
    <w:basedOn w:val="56"/>
    <w:link w:val="14"/>
    <w:qFormat/>
    <w:uiPriority w:val="0"/>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14.wmf"/><Relationship Id="rId31" Type="http://schemas.openxmlformats.org/officeDocument/2006/relationships/oleObject" Target="embeddings/oleObject9.bin"/><Relationship Id="rId30" Type="http://schemas.openxmlformats.org/officeDocument/2006/relationships/image" Target="media/image13.wmf"/><Relationship Id="rId3" Type="http://schemas.openxmlformats.org/officeDocument/2006/relationships/footnotes" Target="footnotes.xml"/><Relationship Id="rId29" Type="http://schemas.openxmlformats.org/officeDocument/2006/relationships/oleObject" Target="embeddings/oleObject8.bin"/><Relationship Id="rId28" Type="http://schemas.openxmlformats.org/officeDocument/2006/relationships/image" Target="media/image12.wmf"/><Relationship Id="rId27" Type="http://schemas.openxmlformats.org/officeDocument/2006/relationships/oleObject" Target="embeddings/oleObject7.bin"/><Relationship Id="rId26" Type="http://schemas.openxmlformats.org/officeDocument/2006/relationships/image" Target="media/image11.wmf"/><Relationship Id="rId25" Type="http://schemas.openxmlformats.org/officeDocument/2006/relationships/oleObject" Target="embeddings/oleObject6.bin"/><Relationship Id="rId24" Type="http://schemas.openxmlformats.org/officeDocument/2006/relationships/image" Target="media/image10.wmf"/><Relationship Id="rId23" Type="http://schemas.openxmlformats.org/officeDocument/2006/relationships/oleObject" Target="embeddings/oleObject5.bin"/><Relationship Id="rId22" Type="http://schemas.openxmlformats.org/officeDocument/2006/relationships/image" Target="media/image9.wmf"/><Relationship Id="rId21" Type="http://schemas.openxmlformats.org/officeDocument/2006/relationships/oleObject" Target="embeddings/oleObject4.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7.wmf"/><Relationship Id="rId17" Type="http://schemas.openxmlformats.org/officeDocument/2006/relationships/oleObject" Target="embeddings/oleObject2.bin"/><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wmf"/><Relationship Id="rId13" Type="http://schemas.openxmlformats.org/officeDocument/2006/relationships/oleObject" Target="embeddings/oleObject1.bin"/><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18612</Words>
  <Characters>20774</Characters>
  <Lines>408</Lines>
  <Paragraphs>114</Paragraphs>
  <TotalTime>0</TotalTime>
  <ScaleCrop>false</ScaleCrop>
  <LinksUpToDate>false</LinksUpToDate>
  <CharactersWithSpaces>21013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2024-03-07T06:43:00Z</dcterms:created>
  <dc:creator>lg</dc:creator>
  <cp:lastModifiedBy>门一海</cp:lastModifiedBy>
  <cp:lastPrinted>2023-09-22T06:57:00Z</cp:lastPrinted>
  <dcterms:modified xsi:type="dcterms:W3CDTF">2025-03-21T01:41:41Z</dcterms:modified>
  <dc:title>建设项目环境影响报告表（污染影响类）</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703C9FB62BF1459DB8F4AA14D0462A92_13</vt:lpwstr>
  </property>
  <property fmtid="{D5CDD505-2E9C-101B-9397-08002B2CF9AE}" pid="4" name="KSOTemplateDocerSaveRecord">
    <vt:lpwstr>eyJoZGlkIjoiYTg0YzY5YzEyNTE1MTZmNzAwOWZhZWRmN2Y0YmEzYWYiLCJ1c2VySWQiOiI4ODE2OTY1MzMifQ==</vt:lpwstr>
  </property>
</Properties>
</file>